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F3E6" w14:textId="16A667B6" w:rsidR="00E03205" w:rsidRPr="00C72677" w:rsidRDefault="00741C8F">
      <w:pPr>
        <w:rPr>
          <w:rFonts w:ascii="Humnst777 BT" w:hAnsi="Humnst777 BT"/>
          <w:b/>
          <w:bCs/>
          <w:sz w:val="32"/>
          <w:szCs w:val="32"/>
        </w:rPr>
      </w:pPr>
      <w:r w:rsidRPr="00C72677">
        <w:rPr>
          <w:rFonts w:ascii="Humnst777 BT" w:hAnsi="Humnst777 BT"/>
          <w:b/>
          <w:bCs/>
          <w:sz w:val="32"/>
          <w:szCs w:val="32"/>
        </w:rPr>
        <w:t xml:space="preserve">Approval </w:t>
      </w:r>
      <w:r w:rsidR="00E03205" w:rsidRPr="00C72677">
        <w:rPr>
          <w:rFonts w:ascii="Humnst777 BT" w:hAnsi="Humnst777 BT"/>
          <w:b/>
          <w:bCs/>
          <w:sz w:val="32"/>
          <w:szCs w:val="32"/>
        </w:rPr>
        <w:t>Criteria for Minor Change</w:t>
      </w:r>
    </w:p>
    <w:p w14:paraId="62C1335B" w14:textId="09957D61" w:rsidR="00B36AF8" w:rsidRPr="00C72677" w:rsidRDefault="00B36AF8">
      <w:pPr>
        <w:rPr>
          <w:rFonts w:ascii="Humnst777 BT" w:hAnsi="Humnst777 BT"/>
        </w:rPr>
      </w:pPr>
      <w:r w:rsidRPr="75701BCB">
        <w:rPr>
          <w:rFonts w:ascii="Humnst777 BT" w:hAnsi="Humnst777 BT"/>
        </w:rPr>
        <w:t xml:space="preserve">For more information please see the guidance for </w:t>
      </w:r>
      <w:hyperlink r:id="rId7" w:history="1">
        <w:r w:rsidRPr="005B2137">
          <w:rPr>
            <w:rStyle w:val="Hyperlink"/>
            <w:rFonts w:ascii="Humnst777 BT" w:hAnsi="Humnst777 BT"/>
          </w:rPr>
          <w:t>Course Change.</w:t>
        </w:r>
      </w:hyperlink>
      <w:r w:rsidRPr="75701BCB">
        <w:rPr>
          <w:rFonts w:ascii="Humnst777 BT" w:hAnsi="Humnst777 BT"/>
        </w:rPr>
        <w:t xml:space="preserve"> It is recommended that before submitting a Minor Change Proposal you review these criteria and also ensure peer scrutiny from an experienced colleague. </w:t>
      </w:r>
    </w:p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1038"/>
        <w:gridCol w:w="2233"/>
        <w:gridCol w:w="5745"/>
      </w:tblGrid>
      <w:tr w:rsidR="00C724B4" w:rsidRPr="00936E46" w14:paraId="6E7CD668" w14:textId="77777777" w:rsidTr="7EBE9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" w:type="dxa"/>
          </w:tcPr>
          <w:p w14:paraId="3A9061D2" w14:textId="6CC05FBD" w:rsidR="00C724B4" w:rsidRPr="00C72677" w:rsidRDefault="00C724B4">
            <w:pPr>
              <w:rPr>
                <w:rFonts w:ascii="Humnst777 BT" w:hAnsi="Humnst777 BT"/>
              </w:rPr>
            </w:pPr>
            <w:r w:rsidRPr="00C72677">
              <w:rPr>
                <w:rFonts w:ascii="Humnst777 BT" w:hAnsi="Humnst777 BT"/>
              </w:rPr>
              <w:t>Tick to confirm</w:t>
            </w:r>
          </w:p>
        </w:tc>
        <w:tc>
          <w:tcPr>
            <w:tcW w:w="2052" w:type="dxa"/>
          </w:tcPr>
          <w:p w14:paraId="50059220" w14:textId="4AC04606" w:rsidR="00C724B4" w:rsidRPr="00C72677" w:rsidRDefault="00093D00" w:rsidP="00936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</w:rPr>
            </w:pPr>
            <w:r w:rsidRPr="00C72677">
              <w:rPr>
                <w:rFonts w:ascii="Humnst777 BT" w:hAnsi="Humnst777 BT"/>
              </w:rPr>
              <w:t>Area</w:t>
            </w:r>
          </w:p>
        </w:tc>
        <w:tc>
          <w:tcPr>
            <w:tcW w:w="6038" w:type="dxa"/>
          </w:tcPr>
          <w:p w14:paraId="00C3B17E" w14:textId="60E85BBC" w:rsidR="00C724B4" w:rsidRPr="00C72677" w:rsidRDefault="00093D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</w:rPr>
            </w:pPr>
            <w:r w:rsidRPr="00C72677">
              <w:rPr>
                <w:rFonts w:ascii="Humnst777 BT" w:hAnsi="Humnst777 BT"/>
              </w:rPr>
              <w:t>Criteria</w:t>
            </w:r>
          </w:p>
        </w:tc>
      </w:tr>
      <w:tr w:rsidR="00E17EEF" w:rsidRPr="00936E46" w14:paraId="762CE2FB" w14:textId="77777777" w:rsidTr="7EBE9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07AADFF4" w14:textId="463A575B" w:rsidR="00E17EEF" w:rsidRPr="00C72677" w:rsidRDefault="00E17EEF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415E5521" w14:textId="0091447F" w:rsidR="00E17EEF" w:rsidRPr="00C72677" w:rsidRDefault="00C2585D" w:rsidP="0093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  <w:b/>
                <w:bCs/>
              </w:rPr>
            </w:pPr>
            <w:r w:rsidRPr="00C72677">
              <w:rPr>
                <w:rFonts w:ascii="Humnst777 BT" w:hAnsi="Humnst777 BT"/>
                <w:b/>
                <w:bCs/>
              </w:rPr>
              <w:t>Timing</w:t>
            </w:r>
          </w:p>
        </w:tc>
        <w:tc>
          <w:tcPr>
            <w:tcW w:w="6038" w:type="dxa"/>
          </w:tcPr>
          <w:p w14:paraId="5AF4A363" w14:textId="7B4D4BC5" w:rsidR="00E17EEF" w:rsidRPr="00CB58DE" w:rsidRDefault="56EB8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</w:rPr>
            </w:pPr>
            <w:r w:rsidRPr="00C72677">
              <w:rPr>
                <w:rFonts w:ascii="Humnst777 BT" w:hAnsi="Humnst777 BT"/>
              </w:rPr>
              <w:t xml:space="preserve">The proposed change </w:t>
            </w:r>
            <w:r w:rsidR="20ABEEC2" w:rsidRPr="00C72677">
              <w:rPr>
                <w:rFonts w:ascii="Humnst777 BT" w:hAnsi="Humnst777 BT"/>
              </w:rPr>
              <w:t xml:space="preserve">will meet the </w:t>
            </w:r>
            <w:hyperlink r:id="rId8" w:history="1">
              <w:r w:rsidR="20ABEEC2" w:rsidRPr="001F3CE1">
                <w:rPr>
                  <w:rStyle w:val="Hyperlink"/>
                  <w:rFonts w:ascii="Humnst777 BT" w:hAnsi="Humnst777 BT"/>
                </w:rPr>
                <w:t>expected deadlines</w:t>
              </w:r>
              <w:r w:rsidR="20569038" w:rsidRPr="001F3CE1">
                <w:rPr>
                  <w:rStyle w:val="Hyperlink"/>
                  <w:rFonts w:ascii="Humnst777 BT" w:hAnsi="Humnst777 BT"/>
                </w:rPr>
                <w:t xml:space="preserve"> for submission</w:t>
              </w:r>
            </w:hyperlink>
            <w:r w:rsidR="20569038" w:rsidRPr="00C72677">
              <w:rPr>
                <w:rFonts w:ascii="Humnst777 BT" w:hAnsi="Humnst777 BT"/>
              </w:rPr>
              <w:t xml:space="preserve"> </w:t>
            </w:r>
            <w:r w:rsidR="003F114F">
              <w:rPr>
                <w:rFonts w:ascii="Humnst777 BT" w:hAnsi="Humnst777 BT"/>
              </w:rPr>
              <w:t xml:space="preserve"> to enable timely implementation on all systems </w:t>
            </w:r>
            <w:r w:rsidR="20569038" w:rsidRPr="00C72677">
              <w:rPr>
                <w:rFonts w:ascii="Humnst777 BT" w:hAnsi="Humnst777 BT"/>
              </w:rPr>
              <w:t>and takes account of the impact on student groups (s</w:t>
            </w:r>
            <w:r w:rsidR="12FE3A10" w:rsidRPr="00C72677">
              <w:rPr>
                <w:rFonts w:ascii="Humnst777 BT" w:hAnsi="Humnst777 BT"/>
              </w:rPr>
              <w:t xml:space="preserve">ee </w:t>
            </w:r>
            <w:hyperlink r:id="rId9" w:history="1">
              <w:r w:rsidR="12FE3A10" w:rsidRPr="00E06A0B">
                <w:rPr>
                  <w:rStyle w:val="Hyperlink"/>
                  <w:rFonts w:ascii="Humnst777 BT" w:hAnsi="Humnst777 BT"/>
                  <w:lang w:val="en-US"/>
                </w:rPr>
                <w:t>‘Policy on Changes to Published Material Course Information’</w:t>
              </w:r>
            </w:hyperlink>
            <w:r w:rsidR="12FE3A10" w:rsidRPr="00936E46">
              <w:rPr>
                <w:rFonts w:ascii="Humnst777 BT" w:hAnsi="Humnst777 BT"/>
                <w:lang w:val="en-US"/>
              </w:rPr>
              <w:t>)</w:t>
            </w:r>
            <w:r w:rsidR="20ABEEC2" w:rsidRPr="00CB58DE">
              <w:rPr>
                <w:rFonts w:ascii="Humnst777 BT" w:hAnsi="Humnst777 BT"/>
              </w:rPr>
              <w:t xml:space="preserve">. </w:t>
            </w:r>
          </w:p>
        </w:tc>
      </w:tr>
      <w:tr w:rsidR="00C2585D" w:rsidRPr="00936E46" w14:paraId="30AC0BF4" w14:textId="77777777" w:rsidTr="7EBE9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68D41492" w14:textId="624E3583" w:rsidR="00C2585D" w:rsidRPr="00CB58DE" w:rsidRDefault="00C2585D" w:rsidP="00C2585D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2B261535" w14:textId="7D025677" w:rsidR="00C2585D" w:rsidRPr="00CB58DE" w:rsidRDefault="00C2585D" w:rsidP="0093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  <w:b/>
                <w:bCs/>
              </w:rPr>
            </w:pPr>
            <w:r w:rsidRPr="00CB58DE">
              <w:rPr>
                <w:rFonts w:ascii="Humnst777 BT" w:hAnsi="Humnst777 BT"/>
                <w:b/>
                <w:bCs/>
              </w:rPr>
              <w:t>Strong Rationale &amp; Clear Benefits</w:t>
            </w:r>
          </w:p>
        </w:tc>
        <w:tc>
          <w:tcPr>
            <w:tcW w:w="6038" w:type="dxa"/>
          </w:tcPr>
          <w:p w14:paraId="6F0868DE" w14:textId="2E5A984E" w:rsidR="00C2585D" w:rsidRPr="00CB58DE" w:rsidRDefault="00663CC2" w:rsidP="00C2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</w:rPr>
            </w:pPr>
            <w:r w:rsidRPr="77E62B77">
              <w:rPr>
                <w:rFonts w:ascii="Humnst777 BT" w:hAnsi="Humnst777 BT"/>
              </w:rPr>
              <w:t>The nature of the change</w:t>
            </w:r>
            <w:r w:rsidR="00143669" w:rsidRPr="77E62B77">
              <w:rPr>
                <w:rFonts w:ascii="Humnst777 BT" w:hAnsi="Humnst777 BT"/>
              </w:rPr>
              <w:t xml:space="preserve"> </w:t>
            </w:r>
            <w:hyperlink r:id="rId10" w:history="1">
              <w:r w:rsidR="00143669" w:rsidRPr="00FB38EB">
                <w:rPr>
                  <w:rStyle w:val="Hyperlink"/>
                  <w:rFonts w:ascii="Humnst777 BT" w:hAnsi="Humnst777 BT"/>
                </w:rPr>
                <w:t xml:space="preserve">meets the criteria for a </w:t>
              </w:r>
              <w:r w:rsidR="009B5D71" w:rsidRPr="00FB38EB">
                <w:rPr>
                  <w:rStyle w:val="Hyperlink"/>
                  <w:rFonts w:ascii="Humnst777 BT" w:hAnsi="Humnst777 BT"/>
                </w:rPr>
                <w:t>minor</w:t>
              </w:r>
              <w:r w:rsidR="45545F73" w:rsidRPr="00FB38EB">
                <w:rPr>
                  <w:rStyle w:val="Hyperlink"/>
                  <w:rFonts w:ascii="Humnst777 BT" w:hAnsi="Humnst777 BT"/>
                </w:rPr>
                <w:t xml:space="preserve"> change</w:t>
              </w:r>
            </w:hyperlink>
            <w:r w:rsidR="009B5D71" w:rsidRPr="77E62B77">
              <w:rPr>
                <w:rFonts w:ascii="Humnst777 BT" w:hAnsi="Humnst777 BT"/>
              </w:rPr>
              <w:t xml:space="preserve"> </w:t>
            </w:r>
            <w:r w:rsidRPr="77E62B77">
              <w:rPr>
                <w:rFonts w:ascii="Humnst777 BT" w:hAnsi="Humnst777 BT"/>
              </w:rPr>
              <w:t xml:space="preserve">and does not need to follow the major change process. </w:t>
            </w:r>
            <w:r w:rsidR="00801226" w:rsidRPr="77E62B77">
              <w:rPr>
                <w:rFonts w:ascii="Humnst777 BT" w:hAnsi="Humnst777 BT"/>
              </w:rPr>
              <w:t xml:space="preserve">Where this is not clear it has been </w:t>
            </w:r>
            <w:r w:rsidRPr="77E62B77">
              <w:rPr>
                <w:rFonts w:ascii="Humnst777 BT" w:hAnsi="Humnst777 BT"/>
              </w:rPr>
              <w:t>discussed with the FDQ.</w:t>
            </w:r>
          </w:p>
        </w:tc>
      </w:tr>
      <w:tr w:rsidR="00663CC2" w:rsidRPr="00936E46" w14:paraId="02C5C5EB" w14:textId="77777777" w:rsidTr="7EBE9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0C52DFE2" w14:textId="77777777" w:rsidR="00663CC2" w:rsidRPr="00CB58DE" w:rsidRDefault="00663CC2" w:rsidP="00C2585D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62638909" w14:textId="77777777" w:rsidR="00663CC2" w:rsidRPr="00CB58DE" w:rsidRDefault="00663CC2" w:rsidP="0093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  <w:b/>
                <w:bCs/>
              </w:rPr>
            </w:pPr>
          </w:p>
        </w:tc>
        <w:tc>
          <w:tcPr>
            <w:tcW w:w="6038" w:type="dxa"/>
          </w:tcPr>
          <w:p w14:paraId="1F8D175B" w14:textId="01A6CBB8" w:rsidR="00663CC2" w:rsidRPr="00CB58DE" w:rsidRDefault="008A49DF" w:rsidP="00C25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</w:rPr>
            </w:pPr>
            <w:r w:rsidRPr="77E62B77">
              <w:rPr>
                <w:rFonts w:ascii="Humnst777 BT" w:hAnsi="Humnst777 BT"/>
              </w:rPr>
              <w:t xml:space="preserve">This is a necessary change - </w:t>
            </w:r>
            <w:r w:rsidR="00CC10C3" w:rsidRPr="77E62B77">
              <w:rPr>
                <w:rFonts w:ascii="Humnst777 BT" w:hAnsi="Humnst777 BT"/>
              </w:rPr>
              <w:t>t</w:t>
            </w:r>
            <w:r w:rsidR="00663CC2" w:rsidRPr="77E62B77">
              <w:rPr>
                <w:rFonts w:ascii="Humnst777 BT" w:hAnsi="Humnst777 BT"/>
              </w:rPr>
              <w:t>here is a</w:t>
            </w:r>
            <w:r w:rsidR="00150BC4" w:rsidRPr="77E62B77">
              <w:rPr>
                <w:rFonts w:ascii="Humnst777 BT" w:hAnsi="Humnst777 BT"/>
              </w:rPr>
              <w:t xml:space="preserve"> clear</w:t>
            </w:r>
            <w:r w:rsidR="009B14F0" w:rsidRPr="77E62B77">
              <w:rPr>
                <w:rFonts w:ascii="Humnst777 BT" w:hAnsi="Humnst777 BT"/>
              </w:rPr>
              <w:t xml:space="preserve"> </w:t>
            </w:r>
            <w:r w:rsidR="00663CC2" w:rsidRPr="77E62B77">
              <w:rPr>
                <w:rFonts w:ascii="Humnst777 BT" w:hAnsi="Humnst777 BT"/>
              </w:rPr>
              <w:t xml:space="preserve">rationale and significant benefits or imperative </w:t>
            </w:r>
            <w:r w:rsidR="00840294">
              <w:rPr>
                <w:rFonts w:ascii="Humnst777 BT" w:hAnsi="Humnst777 BT"/>
              </w:rPr>
              <w:t>f</w:t>
            </w:r>
            <w:r w:rsidR="00663CC2" w:rsidRPr="77E62B77">
              <w:rPr>
                <w:rFonts w:ascii="Humnst777 BT" w:hAnsi="Humnst777 BT"/>
              </w:rPr>
              <w:t>o</w:t>
            </w:r>
            <w:r w:rsidR="00840294">
              <w:rPr>
                <w:rFonts w:ascii="Humnst777 BT" w:hAnsi="Humnst777 BT"/>
              </w:rPr>
              <w:t>r</w:t>
            </w:r>
            <w:r w:rsidR="00663CC2" w:rsidRPr="77E62B77">
              <w:rPr>
                <w:rFonts w:ascii="Humnst777 BT" w:hAnsi="Humnst777 BT"/>
              </w:rPr>
              <w:t xml:space="preserve"> the change which outweigh any resource implications of processing a change</w:t>
            </w:r>
            <w:r w:rsidR="205E4857" w:rsidRPr="77E62B77">
              <w:rPr>
                <w:rFonts w:ascii="Humnst777 BT" w:hAnsi="Humnst777 BT"/>
              </w:rPr>
              <w:t>.</w:t>
            </w:r>
          </w:p>
        </w:tc>
      </w:tr>
      <w:tr w:rsidR="00C2585D" w:rsidRPr="00936E46" w14:paraId="41F8BA73" w14:textId="77777777" w:rsidTr="7EBE9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53535A7E" w14:textId="77777777" w:rsidR="00C2585D" w:rsidRPr="00CB58DE" w:rsidRDefault="00C2585D" w:rsidP="00C2585D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3FC37F39" w14:textId="77777777" w:rsidR="00C2585D" w:rsidRPr="00CB58DE" w:rsidRDefault="00C2585D" w:rsidP="0093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  <w:b/>
                <w:bCs/>
              </w:rPr>
            </w:pPr>
          </w:p>
        </w:tc>
        <w:tc>
          <w:tcPr>
            <w:tcW w:w="6038" w:type="dxa"/>
          </w:tcPr>
          <w:p w14:paraId="49F47351" w14:textId="2673D6F3" w:rsidR="00C2585D" w:rsidRPr="00CB58DE" w:rsidRDefault="00C2585D" w:rsidP="00C2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</w:rPr>
            </w:pPr>
            <w:r w:rsidRPr="77E62B77">
              <w:rPr>
                <w:rFonts w:ascii="Humnst777 BT" w:hAnsi="Humnst777 BT"/>
              </w:rPr>
              <w:t>The intended outcome of the change cannot be delivered in a more effective or a simpler way which wouldn’t require a minor change</w:t>
            </w:r>
            <w:r w:rsidR="4BB72FA7" w:rsidRPr="77E62B77">
              <w:rPr>
                <w:rFonts w:ascii="Humnst777 BT" w:hAnsi="Humnst777 BT"/>
              </w:rPr>
              <w:t>.</w:t>
            </w:r>
          </w:p>
        </w:tc>
      </w:tr>
      <w:tr w:rsidR="00C2585D" w:rsidRPr="00936E46" w14:paraId="399B709E" w14:textId="77777777" w:rsidTr="7EBE9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7E15A750" w14:textId="77777777" w:rsidR="00C2585D" w:rsidRPr="00CB58DE" w:rsidRDefault="00C2585D" w:rsidP="00C2585D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1FC0AA97" w14:textId="77777777" w:rsidR="00C2585D" w:rsidRPr="00CB58DE" w:rsidRDefault="00C2585D" w:rsidP="0093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  <w:b/>
                <w:bCs/>
              </w:rPr>
            </w:pPr>
          </w:p>
        </w:tc>
        <w:tc>
          <w:tcPr>
            <w:tcW w:w="6038" w:type="dxa"/>
          </w:tcPr>
          <w:p w14:paraId="3D5D2684" w14:textId="56859185" w:rsidR="00C2585D" w:rsidRPr="00CB58DE" w:rsidRDefault="00C2585D" w:rsidP="00C25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</w:rPr>
            </w:pPr>
            <w:r w:rsidRPr="00CB58DE">
              <w:rPr>
                <w:rFonts w:ascii="Humnst777 BT" w:hAnsi="Humnst777 BT"/>
              </w:rPr>
              <w:t xml:space="preserve">The change fully aligns with the Learning and Teaching objectives of the course, and </w:t>
            </w:r>
            <w:r w:rsidR="0008581B" w:rsidRPr="00CB58DE">
              <w:rPr>
                <w:rFonts w:ascii="Humnst777 BT" w:hAnsi="Humnst777 BT"/>
              </w:rPr>
              <w:t xml:space="preserve">where appropriate </w:t>
            </w:r>
            <w:r w:rsidRPr="00CB58DE">
              <w:rPr>
                <w:rFonts w:ascii="Humnst777 BT" w:hAnsi="Humnst777 BT"/>
              </w:rPr>
              <w:t>substantively improv</w:t>
            </w:r>
            <w:r w:rsidR="0008581B" w:rsidRPr="00CB58DE">
              <w:rPr>
                <w:rFonts w:ascii="Humnst777 BT" w:hAnsi="Humnst777 BT"/>
              </w:rPr>
              <w:t>es</w:t>
            </w:r>
            <w:r w:rsidRPr="00CB58DE">
              <w:rPr>
                <w:rFonts w:ascii="Humnst777 BT" w:hAnsi="Humnst777 BT"/>
              </w:rPr>
              <w:t xml:space="preserve"> the ability to meet these.</w:t>
            </w:r>
          </w:p>
        </w:tc>
      </w:tr>
      <w:tr w:rsidR="00C2585D" w:rsidRPr="00936E46" w14:paraId="61FE818F" w14:textId="77777777" w:rsidTr="7EBE9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1B3C2EFF" w14:textId="77777777" w:rsidR="00C2585D" w:rsidRPr="00CB58DE" w:rsidRDefault="00C2585D" w:rsidP="00C2585D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6EE3BF0E" w14:textId="44E29ACD" w:rsidR="00C2585D" w:rsidRPr="00CB58DE" w:rsidRDefault="00C2585D" w:rsidP="0093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  <w:b/>
                <w:bCs/>
              </w:rPr>
            </w:pPr>
            <w:r w:rsidRPr="00CB58DE">
              <w:rPr>
                <w:rFonts w:ascii="Humnst777 BT" w:hAnsi="Humnst777 BT"/>
                <w:b/>
                <w:bCs/>
              </w:rPr>
              <w:t>Learning Outcomes</w:t>
            </w:r>
          </w:p>
        </w:tc>
        <w:tc>
          <w:tcPr>
            <w:tcW w:w="6038" w:type="dxa"/>
          </w:tcPr>
          <w:p w14:paraId="322574CC" w14:textId="0A7E524E" w:rsidR="00C2585D" w:rsidRPr="00936E46" w:rsidRDefault="00C2585D" w:rsidP="00C2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  <w:lang w:val="en-US"/>
              </w:rPr>
            </w:pPr>
            <w:r w:rsidRPr="77E62B77">
              <w:rPr>
                <w:rFonts w:ascii="Humnst777 BT" w:hAnsi="Humnst777 BT"/>
                <w:lang w:val="en-US"/>
              </w:rPr>
              <w:t>The change does not alter the course learning outcomes</w:t>
            </w:r>
            <w:r w:rsidR="00C27D63" w:rsidRPr="77E62B77">
              <w:rPr>
                <w:rFonts w:ascii="Humnst777 BT" w:hAnsi="Humnst777 BT"/>
                <w:lang w:val="en-US"/>
              </w:rPr>
              <w:t>,</w:t>
            </w:r>
            <w:r w:rsidRPr="77E62B77">
              <w:rPr>
                <w:rFonts w:ascii="Humnst777 BT" w:hAnsi="Humnst777 BT"/>
                <w:lang w:val="en-US"/>
              </w:rPr>
              <w:t xml:space="preserve"> and</w:t>
            </w:r>
            <w:r w:rsidR="4463E8D7" w:rsidRPr="77E62B77">
              <w:rPr>
                <w:rFonts w:ascii="Humnst777 BT" w:hAnsi="Humnst777 BT"/>
                <w:lang w:val="en-US"/>
              </w:rPr>
              <w:t>,</w:t>
            </w:r>
            <w:r w:rsidRPr="77E62B77">
              <w:rPr>
                <w:rFonts w:ascii="Humnst777 BT" w:hAnsi="Humnst777 BT"/>
                <w:lang w:val="en-US"/>
              </w:rPr>
              <w:t xml:space="preserve"> with the change</w:t>
            </w:r>
            <w:r w:rsidR="7FB0BAEF" w:rsidRPr="77E62B77">
              <w:rPr>
                <w:rFonts w:ascii="Humnst777 BT" w:hAnsi="Humnst777 BT"/>
                <w:lang w:val="en-US"/>
              </w:rPr>
              <w:t>,</w:t>
            </w:r>
            <w:r w:rsidRPr="77E62B77">
              <w:rPr>
                <w:rFonts w:ascii="Humnst777 BT" w:hAnsi="Humnst777 BT"/>
                <w:lang w:val="en-US"/>
              </w:rPr>
              <w:t xml:space="preserve"> the course learning outcomes can still be fully met.</w:t>
            </w:r>
          </w:p>
        </w:tc>
      </w:tr>
      <w:tr w:rsidR="00C2585D" w:rsidRPr="00936E46" w14:paraId="5453F21B" w14:textId="77777777" w:rsidTr="7EBE9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7BBD47C7" w14:textId="77777777" w:rsidR="00C2585D" w:rsidRPr="00CB58DE" w:rsidRDefault="00C2585D" w:rsidP="00C2585D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27778EA9" w14:textId="77777777" w:rsidR="00C2585D" w:rsidRPr="00CB58DE" w:rsidRDefault="00C2585D" w:rsidP="0093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  <w:b/>
                <w:bCs/>
              </w:rPr>
            </w:pPr>
          </w:p>
        </w:tc>
        <w:tc>
          <w:tcPr>
            <w:tcW w:w="6038" w:type="dxa"/>
          </w:tcPr>
          <w:p w14:paraId="30A8BC7E" w14:textId="3706F24C" w:rsidR="00C2585D" w:rsidRPr="00936E46" w:rsidRDefault="4EDEF8BE" w:rsidP="7A344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  <w:lang w:val="en-US"/>
              </w:rPr>
            </w:pPr>
            <w:r w:rsidRPr="00936E46">
              <w:rPr>
                <w:rFonts w:ascii="Humnst777 BT" w:hAnsi="Humnst777 BT"/>
                <w:lang w:val="en-US"/>
              </w:rPr>
              <w:t xml:space="preserve">If adding or removing </w:t>
            </w:r>
            <w:r w:rsidR="564F5B41" w:rsidRPr="00936E46">
              <w:rPr>
                <w:rFonts w:ascii="Humnst777 BT" w:hAnsi="Humnst777 BT"/>
                <w:lang w:val="en-US"/>
              </w:rPr>
              <w:t xml:space="preserve">optional </w:t>
            </w:r>
            <w:r w:rsidRPr="00936E46">
              <w:rPr>
                <w:rFonts w:ascii="Humnst777 BT" w:hAnsi="Humnst777 BT"/>
                <w:lang w:val="en-US"/>
              </w:rPr>
              <w:t>modules, the learning outcomes mapping has been checked to ensure course learning outcomes can still be fully met.</w:t>
            </w:r>
          </w:p>
        </w:tc>
      </w:tr>
      <w:tr w:rsidR="00C2585D" w:rsidRPr="00936E46" w14:paraId="5588CE65" w14:textId="77777777" w:rsidTr="7EBE9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221982AB" w14:textId="77777777" w:rsidR="00C2585D" w:rsidRPr="00CB58DE" w:rsidRDefault="00C2585D" w:rsidP="00C2585D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47B694DD" w14:textId="0CF0E0A5" w:rsidR="00C2585D" w:rsidRPr="00CB58DE" w:rsidRDefault="00C2585D" w:rsidP="0093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  <w:b/>
                <w:bCs/>
              </w:rPr>
            </w:pPr>
            <w:r w:rsidRPr="00CB58DE">
              <w:rPr>
                <w:rFonts w:ascii="Humnst777 BT" w:hAnsi="Humnst777 BT"/>
                <w:b/>
                <w:bCs/>
              </w:rPr>
              <w:t>Academic Framework</w:t>
            </w:r>
          </w:p>
        </w:tc>
        <w:tc>
          <w:tcPr>
            <w:tcW w:w="6038" w:type="dxa"/>
          </w:tcPr>
          <w:p w14:paraId="4279CBB6" w14:textId="2C45D0A9" w:rsidR="00C2585D" w:rsidRPr="00936E46" w:rsidRDefault="00C2585D" w:rsidP="00C2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  <w:lang w:val="en-US"/>
              </w:rPr>
            </w:pPr>
            <w:r w:rsidRPr="77E62B77">
              <w:rPr>
                <w:rFonts w:ascii="Humnst777 BT" w:hAnsi="Humnst777 BT"/>
                <w:lang w:val="en-US"/>
              </w:rPr>
              <w:t xml:space="preserve">After the change the course will still adhere to the expectations of the </w:t>
            </w:r>
            <w:hyperlink r:id="rId11">
              <w:r w:rsidR="00D86B96" w:rsidRPr="77E62B77">
                <w:rPr>
                  <w:rStyle w:val="Hyperlink"/>
                  <w:rFonts w:ascii="Humnst777 BT" w:hAnsi="Humnst777 BT"/>
                  <w:lang w:val="en-US"/>
                </w:rPr>
                <w:t>A</w:t>
              </w:r>
              <w:r w:rsidRPr="77E62B77">
                <w:rPr>
                  <w:rStyle w:val="Hyperlink"/>
                  <w:rFonts w:ascii="Humnst777 BT" w:hAnsi="Humnst777 BT"/>
                  <w:lang w:val="en-US"/>
                </w:rPr>
                <w:t xml:space="preserve">cademic </w:t>
              </w:r>
              <w:r w:rsidR="00D86B96" w:rsidRPr="77E62B77">
                <w:rPr>
                  <w:rStyle w:val="Hyperlink"/>
                  <w:rFonts w:ascii="Humnst777 BT" w:hAnsi="Humnst777 BT"/>
                  <w:lang w:val="en-US"/>
                </w:rPr>
                <w:t>F</w:t>
              </w:r>
              <w:r w:rsidRPr="77E62B77">
                <w:rPr>
                  <w:rStyle w:val="Hyperlink"/>
                  <w:rFonts w:ascii="Humnst777 BT" w:hAnsi="Humnst777 BT"/>
                  <w:lang w:val="en-US"/>
                </w:rPr>
                <w:t>ramework</w:t>
              </w:r>
            </w:hyperlink>
            <w:r w:rsidR="00D86B96" w:rsidRPr="77E62B77">
              <w:rPr>
                <w:rFonts w:ascii="Humnst777 BT" w:hAnsi="Humnst777 BT"/>
                <w:lang w:val="en-US"/>
              </w:rPr>
              <w:t xml:space="preserve"> </w:t>
            </w:r>
            <w:r w:rsidRPr="77E62B77">
              <w:rPr>
                <w:rFonts w:ascii="Humnst777 BT" w:hAnsi="Humnst777 BT"/>
                <w:lang w:val="en-US"/>
              </w:rPr>
              <w:t>(</w:t>
            </w:r>
            <w:r w:rsidR="00310525" w:rsidRPr="77E62B77">
              <w:rPr>
                <w:rFonts w:ascii="Humnst777 BT" w:hAnsi="Humnst777 BT"/>
                <w:lang w:val="en-US"/>
              </w:rPr>
              <w:t>e.g.</w:t>
            </w:r>
            <w:r w:rsidRPr="77E62B77">
              <w:rPr>
                <w:rFonts w:ascii="Humnst777 BT" w:hAnsi="Humnst777 BT"/>
                <w:lang w:val="en-US"/>
              </w:rPr>
              <w:t xml:space="preserve">, if adding or deleting modules </w:t>
            </w:r>
            <w:r w:rsidR="162BD3EB" w:rsidRPr="77E62B77">
              <w:rPr>
                <w:rFonts w:ascii="Humnst777 BT" w:hAnsi="Humnst777 BT"/>
                <w:lang w:val="en-US"/>
              </w:rPr>
              <w:t xml:space="preserve">the </w:t>
            </w:r>
            <w:r w:rsidRPr="77E62B77">
              <w:rPr>
                <w:rFonts w:ascii="Humnst777 BT" w:hAnsi="Humnst777 BT"/>
                <w:lang w:val="en-US"/>
              </w:rPr>
              <w:t>course/route differentiation is still appropriate, etc.)</w:t>
            </w:r>
          </w:p>
        </w:tc>
      </w:tr>
      <w:tr w:rsidR="00C2585D" w:rsidRPr="00936E46" w14:paraId="53CD3DF9" w14:textId="77777777" w:rsidTr="7EBE9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337BE8D3" w14:textId="77777777" w:rsidR="00C2585D" w:rsidRPr="00CB58DE" w:rsidRDefault="00C2585D" w:rsidP="00C2585D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5EBFD2B8" w14:textId="77777777" w:rsidR="00C2585D" w:rsidRPr="00936E46" w:rsidRDefault="00C2585D" w:rsidP="0093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  <w:b/>
                <w:bCs/>
                <w:lang w:val="en-US"/>
              </w:rPr>
            </w:pPr>
            <w:r w:rsidRPr="00936E46">
              <w:rPr>
                <w:rFonts w:ascii="Humnst777 BT" w:hAnsi="Humnst777 BT"/>
                <w:b/>
                <w:bCs/>
                <w:lang w:val="en-US"/>
              </w:rPr>
              <w:t>Consumer Marketing Authority (CMA) Implications:</w:t>
            </w:r>
          </w:p>
          <w:p w14:paraId="339FB986" w14:textId="77777777" w:rsidR="00C2585D" w:rsidRPr="00CB58DE" w:rsidRDefault="00C2585D" w:rsidP="0093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  <w:b/>
                <w:bCs/>
              </w:rPr>
            </w:pPr>
          </w:p>
        </w:tc>
        <w:tc>
          <w:tcPr>
            <w:tcW w:w="6038" w:type="dxa"/>
          </w:tcPr>
          <w:p w14:paraId="1DD4F6A4" w14:textId="03720CC7" w:rsidR="00C2585D" w:rsidRPr="00936E46" w:rsidRDefault="00C2585D" w:rsidP="00C25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  <w:lang w:val="en-US"/>
              </w:rPr>
            </w:pPr>
            <w:r w:rsidRPr="00936E46">
              <w:rPr>
                <w:rFonts w:ascii="Humnst777 BT" w:hAnsi="Humnst777 BT"/>
                <w:lang w:val="en-US"/>
              </w:rPr>
              <w:t>The proposed change adheres to the ‘</w:t>
            </w:r>
            <w:hyperlink r:id="rId12" w:history="1">
              <w:r w:rsidRPr="00C1067A">
                <w:rPr>
                  <w:rStyle w:val="Hyperlink"/>
                  <w:rFonts w:ascii="Humnst777 BT" w:hAnsi="Humnst777 BT"/>
                  <w:lang w:val="en-US"/>
                </w:rPr>
                <w:t>Policy on Changes to Published Material Course Information’</w:t>
              </w:r>
            </w:hyperlink>
            <w:r w:rsidRPr="00936E46">
              <w:rPr>
                <w:rFonts w:ascii="Humnst777 BT" w:hAnsi="Humnst777 BT"/>
                <w:lang w:val="en-US"/>
              </w:rPr>
              <w:t xml:space="preserve"> including consideration of existing students and applicants. (see also consultation)</w:t>
            </w:r>
            <w:r w:rsidR="0051356E">
              <w:rPr>
                <w:rFonts w:ascii="Humnst777 BT" w:hAnsi="Humnst777 BT"/>
                <w:lang w:val="en-US"/>
              </w:rPr>
              <w:t>.</w:t>
            </w:r>
          </w:p>
          <w:p w14:paraId="119D1F7A" w14:textId="5117081A" w:rsidR="00F608FE" w:rsidRPr="00CB58DE" w:rsidRDefault="00F608FE" w:rsidP="00C25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</w:rPr>
            </w:pPr>
            <w:r w:rsidRPr="00CB58DE">
              <w:rPr>
                <w:rFonts w:ascii="Humnst777 BT" w:hAnsi="Humnst777 BT"/>
              </w:rPr>
              <w:t xml:space="preserve">The appropriate information regarding this is </w:t>
            </w:r>
            <w:r w:rsidRPr="00936E46">
              <w:rPr>
                <w:rFonts w:ascii="Humnst777 BT" w:hAnsi="Humnst777 BT"/>
                <w:lang w:val="en-US"/>
              </w:rPr>
              <w:t>detailed on the Minor Change Form.</w:t>
            </w:r>
          </w:p>
        </w:tc>
      </w:tr>
      <w:tr w:rsidR="00C2585D" w:rsidRPr="00936E46" w14:paraId="35BF6630" w14:textId="77777777" w:rsidTr="7EBE9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03CF4B35" w14:textId="77777777" w:rsidR="00C2585D" w:rsidRPr="00CB58DE" w:rsidRDefault="00C2585D" w:rsidP="00C2585D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341E9EE8" w14:textId="77777777" w:rsidR="00C2585D" w:rsidRPr="00936E46" w:rsidRDefault="00C2585D" w:rsidP="0093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  <w:b/>
                <w:bCs/>
                <w:lang w:val="en-US"/>
              </w:rPr>
            </w:pPr>
            <w:r w:rsidRPr="00936E46">
              <w:rPr>
                <w:rFonts w:ascii="Humnst777 BT" w:hAnsi="Humnst777 BT"/>
                <w:b/>
                <w:bCs/>
                <w:lang w:val="en-US"/>
              </w:rPr>
              <w:t>PSRB requirements</w:t>
            </w:r>
          </w:p>
          <w:p w14:paraId="4284EA40" w14:textId="77777777" w:rsidR="00C2585D" w:rsidRPr="00CB58DE" w:rsidRDefault="00C2585D" w:rsidP="0093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  <w:b/>
                <w:bCs/>
              </w:rPr>
            </w:pPr>
          </w:p>
        </w:tc>
        <w:tc>
          <w:tcPr>
            <w:tcW w:w="6038" w:type="dxa"/>
          </w:tcPr>
          <w:p w14:paraId="001B635C" w14:textId="2E64A5D0" w:rsidR="00C2585D" w:rsidRPr="00936E46" w:rsidRDefault="00C2585D" w:rsidP="00C2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  <w:lang w:val="en-US"/>
              </w:rPr>
            </w:pPr>
            <w:r w:rsidRPr="77E62B77">
              <w:rPr>
                <w:rFonts w:ascii="Humnst777 BT" w:hAnsi="Humnst777 BT"/>
                <w:lang w:val="en-US"/>
              </w:rPr>
              <w:t xml:space="preserve">All PSRB </w:t>
            </w:r>
            <w:r w:rsidR="7ED90279" w:rsidRPr="77E62B77">
              <w:rPr>
                <w:rFonts w:ascii="Humnst777 BT" w:hAnsi="Humnst777 BT"/>
                <w:lang w:val="en-US"/>
              </w:rPr>
              <w:t>r</w:t>
            </w:r>
            <w:r w:rsidRPr="77E62B77">
              <w:rPr>
                <w:rFonts w:ascii="Humnst777 BT" w:hAnsi="Humnst777 BT"/>
                <w:lang w:val="en-US"/>
              </w:rPr>
              <w:t xml:space="preserve">equirements have been fully considered and with the change all PSRB requirements can still be fully met. This is confirmed on the Minor Change </w:t>
            </w:r>
            <w:r w:rsidR="0077731C">
              <w:rPr>
                <w:rFonts w:ascii="Humnst777 BT" w:hAnsi="Humnst777 BT"/>
                <w:lang w:val="en-US"/>
              </w:rPr>
              <w:t xml:space="preserve">Proposal </w:t>
            </w:r>
            <w:r w:rsidRPr="77E62B77">
              <w:rPr>
                <w:rFonts w:ascii="Humnst777 BT" w:hAnsi="Humnst777 BT"/>
                <w:lang w:val="en-US"/>
              </w:rPr>
              <w:t xml:space="preserve">Form. </w:t>
            </w:r>
          </w:p>
        </w:tc>
      </w:tr>
      <w:tr w:rsidR="00C2585D" w:rsidRPr="00936E46" w14:paraId="57207829" w14:textId="77777777" w:rsidTr="7EBE9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7F579EF1" w14:textId="77777777" w:rsidR="00C2585D" w:rsidRPr="00CB58DE" w:rsidRDefault="00C2585D" w:rsidP="00C2585D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5F79918A" w14:textId="77777777" w:rsidR="00C2585D" w:rsidRPr="00936E46" w:rsidRDefault="00C2585D" w:rsidP="0093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  <w:b/>
                <w:bCs/>
                <w:lang w:val="en-US"/>
              </w:rPr>
            </w:pPr>
          </w:p>
        </w:tc>
        <w:tc>
          <w:tcPr>
            <w:tcW w:w="6038" w:type="dxa"/>
          </w:tcPr>
          <w:p w14:paraId="55D13D10" w14:textId="7A9F53D7" w:rsidR="00C2585D" w:rsidRPr="00CB58DE" w:rsidRDefault="00C2585D" w:rsidP="00C25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</w:rPr>
            </w:pPr>
            <w:r w:rsidRPr="00936E46">
              <w:rPr>
                <w:rFonts w:ascii="Humnst777 BT" w:hAnsi="Humnst777 BT"/>
                <w:lang w:val="en-US"/>
              </w:rPr>
              <w:t>If the change will have to be reported to the PSRB this has been noted.</w:t>
            </w:r>
          </w:p>
        </w:tc>
      </w:tr>
      <w:tr w:rsidR="008476B7" w:rsidRPr="00936E46" w14:paraId="00775C46" w14:textId="77777777" w:rsidTr="7EBE9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19660677" w14:textId="77777777" w:rsidR="008476B7" w:rsidRPr="00CB58DE" w:rsidRDefault="008476B7" w:rsidP="008476B7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7A12C5B0" w14:textId="60023D4E" w:rsidR="008476B7" w:rsidRPr="00936E46" w:rsidRDefault="008476B7" w:rsidP="0093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  <w:b/>
                <w:bCs/>
                <w:lang w:val="en-US"/>
              </w:rPr>
            </w:pPr>
            <w:r w:rsidRPr="00936E46">
              <w:rPr>
                <w:rFonts w:ascii="Humnst777 BT" w:hAnsi="Humnst777 BT"/>
                <w:b/>
                <w:bCs/>
                <w:lang w:val="en-US"/>
              </w:rPr>
              <w:t>Shared Modules</w:t>
            </w:r>
          </w:p>
        </w:tc>
        <w:tc>
          <w:tcPr>
            <w:tcW w:w="6038" w:type="dxa"/>
          </w:tcPr>
          <w:p w14:paraId="3D36F590" w14:textId="500FF4B9" w:rsidR="008476B7" w:rsidRPr="00936E46" w:rsidRDefault="008476B7" w:rsidP="008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  <w:lang w:val="en-US"/>
              </w:rPr>
            </w:pPr>
            <w:r w:rsidRPr="7EBE9959">
              <w:rPr>
                <w:rFonts w:ascii="Humnst777 BT" w:hAnsi="Humnst777 BT"/>
                <w:lang w:val="en-US"/>
              </w:rPr>
              <w:t xml:space="preserve">If the module is shared with other courses, </w:t>
            </w:r>
            <w:r w:rsidR="575168FB" w:rsidRPr="7EBE9959">
              <w:rPr>
                <w:rFonts w:ascii="Humnst777 BT" w:hAnsi="Humnst777 BT"/>
                <w:lang w:val="en-US"/>
              </w:rPr>
              <w:t xml:space="preserve">the Course </w:t>
            </w:r>
            <w:r w:rsidRPr="7EBE9959">
              <w:rPr>
                <w:rFonts w:ascii="Humnst777 BT" w:hAnsi="Humnst777 BT"/>
                <w:lang w:val="en-US"/>
              </w:rPr>
              <w:t>Director for</w:t>
            </w:r>
            <w:r w:rsidR="020ED5AD" w:rsidRPr="7EBE9959">
              <w:rPr>
                <w:rFonts w:ascii="Humnst777 BT" w:hAnsi="Humnst777 BT"/>
                <w:lang w:val="en-US"/>
              </w:rPr>
              <w:t xml:space="preserve"> the parent course has consulted with the </w:t>
            </w:r>
            <w:r w:rsidR="020ED5AD" w:rsidRPr="7EBE9959">
              <w:rPr>
                <w:rFonts w:ascii="Humnst777 BT" w:hAnsi="Humnst777 BT"/>
                <w:lang w:val="en-US"/>
              </w:rPr>
              <w:lastRenderedPageBreak/>
              <w:t xml:space="preserve">other course directors  </w:t>
            </w:r>
            <w:r w:rsidRPr="7EBE9959">
              <w:rPr>
                <w:rFonts w:ascii="Humnst777 BT" w:hAnsi="Humnst777 BT"/>
                <w:lang w:val="en-US"/>
              </w:rPr>
              <w:t xml:space="preserve">and confirmed approval of the change and evidence </w:t>
            </w:r>
            <w:r w:rsidR="5B7ECB86" w:rsidRPr="7EBE9959">
              <w:rPr>
                <w:rFonts w:ascii="Humnst777 BT" w:hAnsi="Humnst777 BT"/>
                <w:lang w:val="en-US"/>
              </w:rPr>
              <w:t xml:space="preserve">of approval </w:t>
            </w:r>
            <w:r w:rsidRPr="7EBE9959">
              <w:rPr>
                <w:rFonts w:ascii="Humnst777 BT" w:hAnsi="Humnst777 BT"/>
                <w:lang w:val="en-US"/>
              </w:rPr>
              <w:t xml:space="preserve">is available. </w:t>
            </w:r>
          </w:p>
        </w:tc>
      </w:tr>
      <w:tr w:rsidR="008476B7" w:rsidRPr="00936E46" w14:paraId="7394116D" w14:textId="77777777" w:rsidTr="7EBE9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048D1FBE" w14:textId="77777777" w:rsidR="008476B7" w:rsidRPr="00CB58DE" w:rsidRDefault="008476B7" w:rsidP="008476B7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05B9AC90" w14:textId="77777777" w:rsidR="008476B7" w:rsidRPr="00936E46" w:rsidRDefault="008476B7" w:rsidP="0093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  <w:b/>
                <w:bCs/>
                <w:lang w:val="en-US"/>
              </w:rPr>
            </w:pPr>
            <w:r w:rsidRPr="00936E46">
              <w:rPr>
                <w:rFonts w:ascii="Humnst777 BT" w:hAnsi="Humnst777 BT"/>
                <w:b/>
                <w:bCs/>
                <w:lang w:val="en-US"/>
              </w:rPr>
              <w:t>Consultation</w:t>
            </w:r>
          </w:p>
          <w:p w14:paraId="350763D0" w14:textId="694266E8" w:rsidR="00F96A2E" w:rsidRPr="00936E46" w:rsidRDefault="00901399" w:rsidP="00567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  <w:b/>
                <w:bCs/>
                <w:sz w:val="20"/>
                <w:szCs w:val="20"/>
                <w:lang w:val="en-US"/>
              </w:rPr>
            </w:pPr>
            <w:r w:rsidRPr="00936E46">
              <w:rPr>
                <w:rFonts w:ascii="Humnst777 BT" w:hAnsi="Humnst777 BT"/>
                <w:b/>
                <w:bCs/>
                <w:sz w:val="20"/>
                <w:szCs w:val="20"/>
                <w:lang w:val="en-US"/>
              </w:rPr>
              <w:t>EE</w:t>
            </w:r>
          </w:p>
        </w:tc>
        <w:tc>
          <w:tcPr>
            <w:tcW w:w="6038" w:type="dxa"/>
          </w:tcPr>
          <w:p w14:paraId="778CE758" w14:textId="259DBF0F" w:rsidR="008476B7" w:rsidRPr="00CB58DE" w:rsidRDefault="008476B7" w:rsidP="0084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</w:rPr>
            </w:pPr>
            <w:r w:rsidRPr="00CB58DE">
              <w:rPr>
                <w:rFonts w:ascii="Humnst777 BT" w:hAnsi="Humnst777 BT"/>
              </w:rPr>
              <w:t xml:space="preserve">The External Examiner has been consulted, their views accounted for and </w:t>
            </w:r>
            <w:r w:rsidR="001E12D6" w:rsidRPr="00936E46">
              <w:rPr>
                <w:rFonts w:ascii="Humnst777 BT" w:hAnsi="Humnst777 BT"/>
                <w:lang w:val="en-US"/>
              </w:rPr>
              <w:t>this is provided on the Minor Change Form.</w:t>
            </w:r>
          </w:p>
        </w:tc>
      </w:tr>
      <w:tr w:rsidR="008476B7" w:rsidRPr="00936E46" w14:paraId="7023F398" w14:textId="77777777" w:rsidTr="7EBE9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6F510338" w14:textId="77777777" w:rsidR="008476B7" w:rsidRPr="00CB58DE" w:rsidRDefault="008476B7" w:rsidP="008476B7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11F56F43" w14:textId="046C52DA" w:rsidR="008476B7" w:rsidRPr="00936E46" w:rsidRDefault="00901399" w:rsidP="00567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  <w:b/>
                <w:bCs/>
                <w:sz w:val="20"/>
                <w:szCs w:val="20"/>
                <w:lang w:val="en-US"/>
              </w:rPr>
            </w:pPr>
            <w:r w:rsidRPr="00936E46">
              <w:rPr>
                <w:rFonts w:ascii="Humnst777 BT" w:hAnsi="Humnst777 BT"/>
                <w:b/>
                <w:bCs/>
                <w:sz w:val="20"/>
                <w:szCs w:val="20"/>
                <w:lang w:val="en-US"/>
              </w:rPr>
              <w:t>Students</w:t>
            </w:r>
          </w:p>
        </w:tc>
        <w:tc>
          <w:tcPr>
            <w:tcW w:w="6038" w:type="dxa"/>
          </w:tcPr>
          <w:p w14:paraId="0FBA10D2" w14:textId="38A918D2" w:rsidR="008476B7" w:rsidRPr="00CB58DE" w:rsidRDefault="002749DF" w:rsidP="008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</w:rPr>
            </w:pPr>
            <w:r w:rsidRPr="00936E46">
              <w:rPr>
                <w:rFonts w:ascii="Humnst777 BT" w:hAnsi="Humnst777 BT"/>
                <w:lang w:val="en-US"/>
              </w:rPr>
              <w:t>C</w:t>
            </w:r>
            <w:r w:rsidR="008476B7" w:rsidRPr="00936E46">
              <w:rPr>
                <w:rFonts w:ascii="Humnst777 BT" w:hAnsi="Humnst777 BT"/>
                <w:lang w:val="en-US"/>
              </w:rPr>
              <w:t xml:space="preserve">onsultation </w:t>
            </w:r>
            <w:r w:rsidRPr="00936E46">
              <w:rPr>
                <w:rFonts w:ascii="Humnst777 BT" w:hAnsi="Humnst777 BT"/>
                <w:lang w:val="en-US"/>
              </w:rPr>
              <w:t xml:space="preserve">(and where possible co-production/co-design) </w:t>
            </w:r>
            <w:r w:rsidR="008476B7" w:rsidRPr="00936E46">
              <w:rPr>
                <w:rFonts w:ascii="Humnst777 BT" w:hAnsi="Humnst777 BT"/>
                <w:lang w:val="en-US"/>
              </w:rPr>
              <w:t xml:space="preserve">has been undertaken </w:t>
            </w:r>
            <w:r w:rsidRPr="00936E46">
              <w:rPr>
                <w:rFonts w:ascii="Humnst777 BT" w:hAnsi="Humnst777 BT"/>
                <w:lang w:val="en-US"/>
              </w:rPr>
              <w:t xml:space="preserve">with students </w:t>
            </w:r>
            <w:r w:rsidR="008476B7" w:rsidRPr="00936E46">
              <w:rPr>
                <w:rFonts w:ascii="Humnst777 BT" w:hAnsi="Humnst777 BT"/>
                <w:lang w:val="en-US"/>
              </w:rPr>
              <w:t>and there is appropriate support for the proposed change.</w:t>
            </w:r>
            <w:r w:rsidR="007308C1" w:rsidRPr="00936E46">
              <w:rPr>
                <w:rFonts w:ascii="Humnst777 BT" w:hAnsi="Humnst777 BT"/>
                <w:lang w:val="en-US"/>
              </w:rPr>
              <w:t xml:space="preserve"> </w:t>
            </w:r>
            <w:r w:rsidR="007308C1" w:rsidRPr="00CB58DE">
              <w:rPr>
                <w:rFonts w:ascii="Humnst777 BT" w:hAnsi="Humnst777 BT"/>
              </w:rPr>
              <w:t>T</w:t>
            </w:r>
            <w:r w:rsidR="007308C1" w:rsidRPr="00936E46">
              <w:rPr>
                <w:rFonts w:ascii="Humnst777 BT" w:hAnsi="Humnst777 BT"/>
                <w:lang w:val="en-US"/>
              </w:rPr>
              <w:t xml:space="preserve">his is detailed on the Minor Change </w:t>
            </w:r>
            <w:r w:rsidR="0081381A">
              <w:rPr>
                <w:rFonts w:ascii="Humnst777 BT" w:hAnsi="Humnst777 BT"/>
                <w:lang w:val="en-US"/>
              </w:rPr>
              <w:t xml:space="preserve">Proposal </w:t>
            </w:r>
            <w:r w:rsidR="007308C1" w:rsidRPr="00936E46">
              <w:rPr>
                <w:rFonts w:ascii="Humnst777 BT" w:hAnsi="Humnst777 BT"/>
                <w:lang w:val="en-US"/>
              </w:rPr>
              <w:t>Form.</w:t>
            </w:r>
          </w:p>
        </w:tc>
      </w:tr>
      <w:tr w:rsidR="008476B7" w:rsidRPr="00936E46" w14:paraId="3AE49B15" w14:textId="77777777" w:rsidTr="7EBE9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3A4C8FF4" w14:textId="77777777" w:rsidR="008476B7" w:rsidRPr="00CB58DE" w:rsidRDefault="008476B7" w:rsidP="008476B7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263B52C4" w14:textId="4622EEC1" w:rsidR="008476B7" w:rsidRPr="00936E46" w:rsidRDefault="00547CC9" w:rsidP="00567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  <w:b/>
                <w:bCs/>
                <w:sz w:val="20"/>
                <w:szCs w:val="20"/>
                <w:lang w:val="en-US"/>
              </w:rPr>
            </w:pPr>
            <w:r w:rsidRPr="00936E46">
              <w:rPr>
                <w:rFonts w:ascii="Humnst777 BT" w:hAnsi="Humnst777 BT"/>
                <w:b/>
                <w:bCs/>
                <w:sz w:val="20"/>
                <w:szCs w:val="20"/>
                <w:lang w:val="en-US"/>
              </w:rPr>
              <w:t>Partners</w:t>
            </w:r>
          </w:p>
        </w:tc>
        <w:tc>
          <w:tcPr>
            <w:tcW w:w="6038" w:type="dxa"/>
          </w:tcPr>
          <w:p w14:paraId="4CE2FBD9" w14:textId="51A4DD12" w:rsidR="008476B7" w:rsidRPr="00CB58DE" w:rsidRDefault="008476B7" w:rsidP="0084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</w:rPr>
            </w:pPr>
            <w:r w:rsidRPr="00CB58DE">
              <w:rPr>
                <w:rFonts w:ascii="Humnst777 BT" w:hAnsi="Humnst777 BT"/>
              </w:rPr>
              <w:t xml:space="preserve">For Franchised Courses, all relevant partners have been consulted and agreed to the changes. </w:t>
            </w:r>
            <w:r w:rsidR="007308C1" w:rsidRPr="00CB58DE">
              <w:rPr>
                <w:rFonts w:ascii="Humnst777 BT" w:hAnsi="Humnst777 BT"/>
              </w:rPr>
              <w:t>T</w:t>
            </w:r>
            <w:r w:rsidR="007308C1" w:rsidRPr="00936E46">
              <w:rPr>
                <w:rFonts w:ascii="Humnst777 BT" w:hAnsi="Humnst777 BT"/>
                <w:lang w:val="en-US"/>
              </w:rPr>
              <w:t xml:space="preserve">his is confirmed on the Minor Change </w:t>
            </w:r>
            <w:r w:rsidR="0081381A">
              <w:rPr>
                <w:rFonts w:ascii="Humnst777 BT" w:hAnsi="Humnst777 BT"/>
                <w:lang w:val="en-US"/>
              </w:rPr>
              <w:t xml:space="preserve">Proposal </w:t>
            </w:r>
            <w:r w:rsidR="007308C1" w:rsidRPr="00936E46">
              <w:rPr>
                <w:rFonts w:ascii="Humnst777 BT" w:hAnsi="Humnst777 BT"/>
                <w:lang w:val="en-US"/>
              </w:rPr>
              <w:t>Form.</w:t>
            </w:r>
          </w:p>
        </w:tc>
      </w:tr>
      <w:tr w:rsidR="008476B7" w:rsidRPr="00936E46" w14:paraId="5702541A" w14:textId="77777777" w:rsidTr="7EBE9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51B00D35" w14:textId="77777777" w:rsidR="008476B7" w:rsidRPr="00CB58DE" w:rsidRDefault="008476B7" w:rsidP="008476B7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69F79446" w14:textId="147C5D1C" w:rsidR="008476B7" w:rsidRPr="00936E46" w:rsidRDefault="008476B7" w:rsidP="0093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  <w:b/>
                <w:bCs/>
                <w:lang w:val="en-US"/>
              </w:rPr>
            </w:pPr>
            <w:r w:rsidRPr="00936E46">
              <w:rPr>
                <w:rFonts w:ascii="Humnst777 BT" w:hAnsi="Humnst777 BT"/>
                <w:b/>
                <w:bCs/>
                <w:lang w:val="en-US"/>
              </w:rPr>
              <w:t>Resources</w:t>
            </w:r>
          </w:p>
        </w:tc>
        <w:tc>
          <w:tcPr>
            <w:tcW w:w="6038" w:type="dxa"/>
          </w:tcPr>
          <w:p w14:paraId="5A004274" w14:textId="004BB830" w:rsidR="008476B7" w:rsidRPr="00CB58DE" w:rsidRDefault="008476B7" w:rsidP="008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</w:rPr>
            </w:pPr>
            <w:r w:rsidRPr="00CB58DE">
              <w:rPr>
                <w:rFonts w:ascii="Humnst777 BT" w:hAnsi="Humnst777 BT"/>
              </w:rPr>
              <w:t>If there are resource implications</w:t>
            </w:r>
            <w:r w:rsidR="007308C1" w:rsidRPr="00CB58DE">
              <w:rPr>
                <w:rFonts w:ascii="Humnst777 BT" w:hAnsi="Humnst777 BT"/>
              </w:rPr>
              <w:t>,</w:t>
            </w:r>
            <w:r w:rsidRPr="00CB58DE">
              <w:rPr>
                <w:rFonts w:ascii="Humnst777 BT" w:hAnsi="Humnst777 BT"/>
              </w:rPr>
              <w:t xml:space="preserve"> these have been approved by the Head of School. </w:t>
            </w:r>
          </w:p>
        </w:tc>
      </w:tr>
      <w:tr w:rsidR="008476B7" w:rsidRPr="00936E46" w14:paraId="723194F0" w14:textId="77777777" w:rsidTr="7EBE9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0EFD8523" w14:textId="77777777" w:rsidR="008476B7" w:rsidRPr="00CB58DE" w:rsidRDefault="008476B7" w:rsidP="008476B7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2EE944D7" w14:textId="49F05B34" w:rsidR="008476B7" w:rsidRPr="00936E46" w:rsidRDefault="008476B7" w:rsidP="0093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  <w:b/>
                <w:bCs/>
                <w:lang w:val="en-US"/>
              </w:rPr>
            </w:pPr>
            <w:r w:rsidRPr="00936E46">
              <w:rPr>
                <w:rFonts w:ascii="Humnst777 BT" w:hAnsi="Humnst777 BT"/>
                <w:b/>
                <w:bCs/>
                <w:lang w:val="en-US"/>
              </w:rPr>
              <w:t xml:space="preserve">Assessment Changes: </w:t>
            </w:r>
          </w:p>
        </w:tc>
        <w:tc>
          <w:tcPr>
            <w:tcW w:w="6038" w:type="dxa"/>
          </w:tcPr>
          <w:p w14:paraId="4602BDA1" w14:textId="0AC8A1CC" w:rsidR="008476B7" w:rsidRPr="00936E46" w:rsidRDefault="008476B7" w:rsidP="0084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  <w:lang w:val="en-US"/>
              </w:rPr>
            </w:pPr>
            <w:r w:rsidRPr="77E62B77">
              <w:rPr>
                <w:rFonts w:ascii="Humnst777 BT" w:hAnsi="Humnst777 BT"/>
                <w:lang w:val="en-US"/>
              </w:rPr>
              <w:t xml:space="preserve">The proposed change aligns with the learning outcomes and course/level assessment strategy and due consideration has been given to the weighting of assessment. </w:t>
            </w:r>
            <w:r w:rsidR="005876B7" w:rsidRPr="77E62B77">
              <w:rPr>
                <w:rFonts w:ascii="Humnst777 BT" w:hAnsi="Humnst777 BT"/>
                <w:lang w:val="en-US"/>
              </w:rPr>
              <w:t xml:space="preserve">Such changes should </w:t>
            </w:r>
            <w:r w:rsidR="008819F0">
              <w:rPr>
                <w:rFonts w:ascii="Humnst777 BT" w:hAnsi="Humnst777 BT"/>
                <w:lang w:val="en-US"/>
              </w:rPr>
              <w:t xml:space="preserve">align </w:t>
            </w:r>
            <w:r w:rsidR="00C51859" w:rsidRPr="77E62B77">
              <w:rPr>
                <w:rFonts w:ascii="Humnst777 BT" w:hAnsi="Humnst777 BT"/>
                <w:lang w:val="en-US"/>
              </w:rPr>
              <w:t>with course delivery timelines.</w:t>
            </w:r>
          </w:p>
        </w:tc>
      </w:tr>
      <w:tr w:rsidR="008476B7" w:rsidRPr="00936E46" w14:paraId="54DB4642" w14:textId="77777777" w:rsidTr="7EBE9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0F626406" w14:textId="77777777" w:rsidR="008476B7" w:rsidRPr="00CB58DE" w:rsidRDefault="008476B7" w:rsidP="008476B7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4CA3E0FE" w14:textId="77777777" w:rsidR="008476B7" w:rsidRPr="00936E46" w:rsidRDefault="008476B7" w:rsidP="0093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  <w:b/>
                <w:bCs/>
                <w:lang w:val="en-US"/>
              </w:rPr>
            </w:pPr>
          </w:p>
        </w:tc>
        <w:tc>
          <w:tcPr>
            <w:tcW w:w="6038" w:type="dxa"/>
          </w:tcPr>
          <w:p w14:paraId="45FB4D8F" w14:textId="6A80DF36" w:rsidR="008476B7" w:rsidRPr="00CB58DE" w:rsidRDefault="008476B7" w:rsidP="008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</w:rPr>
            </w:pPr>
            <w:r w:rsidRPr="00CB58DE">
              <w:rPr>
                <w:rFonts w:ascii="Humnst777 BT" w:hAnsi="Humnst777 BT"/>
              </w:rPr>
              <w:t xml:space="preserve">The appropriate </w:t>
            </w:r>
            <w:hyperlink r:id="rId13" w:history="1">
              <w:r w:rsidRPr="001A3551">
                <w:rPr>
                  <w:rStyle w:val="Hyperlink"/>
                  <w:rFonts w:ascii="Humnst777 BT" w:hAnsi="Humnst777 BT"/>
                </w:rPr>
                <w:t>assessment activity type</w:t>
              </w:r>
            </w:hyperlink>
            <w:r w:rsidRPr="00CB58DE">
              <w:rPr>
                <w:rFonts w:ascii="Humnst777 BT" w:hAnsi="Humnst777 BT"/>
              </w:rPr>
              <w:t xml:space="preserve"> has been listed. </w:t>
            </w:r>
          </w:p>
        </w:tc>
      </w:tr>
      <w:tr w:rsidR="008476B7" w:rsidRPr="00936E46" w14:paraId="1492DF77" w14:textId="77777777" w:rsidTr="7EBE9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4A14D7CB" w14:textId="77777777" w:rsidR="008476B7" w:rsidRPr="00CB58DE" w:rsidRDefault="008476B7" w:rsidP="008476B7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1CA766E2" w14:textId="3B9AA0AC" w:rsidR="008476B7" w:rsidRPr="00936E46" w:rsidRDefault="008476B7" w:rsidP="0093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  <w:b/>
                <w:bCs/>
                <w:lang w:val="en-US"/>
              </w:rPr>
            </w:pPr>
            <w:r w:rsidRPr="00936E46">
              <w:rPr>
                <w:rFonts w:ascii="Humnst777 BT" w:hAnsi="Humnst777 BT"/>
                <w:b/>
                <w:bCs/>
                <w:lang w:val="en-US"/>
              </w:rPr>
              <w:t>Change of Semester/Trimester</w:t>
            </w:r>
          </w:p>
        </w:tc>
        <w:tc>
          <w:tcPr>
            <w:tcW w:w="6038" w:type="dxa"/>
          </w:tcPr>
          <w:p w14:paraId="5D22A14D" w14:textId="0FDCAD44" w:rsidR="008476B7" w:rsidRPr="00CB58DE" w:rsidRDefault="007A62CA" w:rsidP="0084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 xml:space="preserve">The move of the </w:t>
            </w:r>
            <w:r w:rsidR="005B3C86">
              <w:rPr>
                <w:rFonts w:ascii="Humnst777 BT" w:hAnsi="Humnst777 BT"/>
              </w:rPr>
              <w:t xml:space="preserve">module to a different semester / trimester within the </w:t>
            </w:r>
            <w:r w:rsidR="00BA1262">
              <w:rPr>
                <w:rFonts w:ascii="Humnst777 BT" w:hAnsi="Humnst777 BT"/>
              </w:rPr>
              <w:t xml:space="preserve">approved </w:t>
            </w:r>
            <w:r w:rsidR="005B3C86">
              <w:rPr>
                <w:rFonts w:ascii="Humnst777 BT" w:hAnsi="Humnst777 BT"/>
              </w:rPr>
              <w:t>course</w:t>
            </w:r>
            <w:r w:rsidR="00BA1262">
              <w:rPr>
                <w:rFonts w:ascii="Humnst777 BT" w:hAnsi="Humnst777 BT"/>
              </w:rPr>
              <w:t xml:space="preserve"> calendar</w:t>
            </w:r>
            <w:r w:rsidR="00182EE7">
              <w:rPr>
                <w:rFonts w:ascii="Humnst777 BT" w:hAnsi="Humnst777 BT"/>
              </w:rPr>
              <w:t xml:space="preserve"> does not adversely </w:t>
            </w:r>
            <w:r w:rsidR="00C80786">
              <w:rPr>
                <w:rFonts w:ascii="Humnst777 BT" w:hAnsi="Humnst777 BT"/>
              </w:rPr>
              <w:t>impact the curriculum</w:t>
            </w:r>
            <w:r w:rsidR="00BA1262">
              <w:rPr>
                <w:rFonts w:ascii="Humnst777 BT" w:hAnsi="Humnst777 BT"/>
              </w:rPr>
              <w:t>.</w:t>
            </w:r>
            <w:r w:rsidR="005B3C86">
              <w:rPr>
                <w:rFonts w:ascii="Humnst777 BT" w:hAnsi="Humnst777 BT"/>
              </w:rPr>
              <w:t xml:space="preserve"> </w:t>
            </w:r>
            <w:r w:rsidR="008476B7" w:rsidRPr="00CB58DE">
              <w:rPr>
                <w:rFonts w:ascii="Humnst777 BT" w:hAnsi="Humnst777 BT"/>
              </w:rPr>
              <w:t xml:space="preserve">The change has been checked against the curriculum </w:t>
            </w:r>
            <w:r w:rsidR="005556FA" w:rsidRPr="00CB58DE">
              <w:rPr>
                <w:rFonts w:ascii="Humnst777 BT" w:hAnsi="Humnst777 BT"/>
              </w:rPr>
              <w:t xml:space="preserve">information in the Student Record System </w:t>
            </w:r>
            <w:r w:rsidR="008476B7" w:rsidRPr="00CB58DE">
              <w:rPr>
                <w:rFonts w:ascii="Humnst777 BT" w:hAnsi="Humnst777 BT"/>
              </w:rPr>
              <w:t>and will not lead to an imbalanced credit load in any given semester/trimester.</w:t>
            </w:r>
            <w:r w:rsidR="00AE2AB3" w:rsidRPr="00CB58DE">
              <w:rPr>
                <w:rFonts w:ascii="Humnst777 BT" w:hAnsi="Humnst777 BT"/>
              </w:rPr>
              <w:t xml:space="preserve"> </w:t>
            </w:r>
          </w:p>
        </w:tc>
      </w:tr>
      <w:tr w:rsidR="008476B7" w:rsidRPr="00936E46" w14:paraId="0740E63D" w14:textId="77777777" w:rsidTr="7EBE9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16E271D4" w14:textId="77777777" w:rsidR="008476B7" w:rsidRPr="00CB58DE" w:rsidRDefault="008476B7" w:rsidP="008476B7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083597B4" w14:textId="136AC6B6" w:rsidR="008476B7" w:rsidRPr="00936E46" w:rsidRDefault="008476B7" w:rsidP="0093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  <w:b/>
                <w:bCs/>
                <w:lang w:val="en-US"/>
              </w:rPr>
            </w:pPr>
            <w:r w:rsidRPr="00936E46">
              <w:rPr>
                <w:rFonts w:ascii="Humnst777 BT" w:hAnsi="Humnst777 BT"/>
                <w:b/>
                <w:bCs/>
                <w:lang w:val="en-US"/>
              </w:rPr>
              <w:t>Combined Honours</w:t>
            </w:r>
          </w:p>
        </w:tc>
        <w:tc>
          <w:tcPr>
            <w:tcW w:w="6038" w:type="dxa"/>
          </w:tcPr>
          <w:p w14:paraId="0B098506" w14:textId="7C4D26B2" w:rsidR="008476B7" w:rsidRPr="00CB58DE" w:rsidRDefault="008476B7" w:rsidP="008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 BT" w:hAnsi="Humnst777 BT"/>
              </w:rPr>
            </w:pPr>
            <w:r w:rsidRPr="00CB58DE">
              <w:rPr>
                <w:rFonts w:ascii="Humnst777 BT" w:hAnsi="Humnst777 BT"/>
              </w:rPr>
              <w:t>The change will not adversely impact the ability of students to meet combined honours requirements for each subject (e</w:t>
            </w:r>
            <w:r w:rsidR="0018537A">
              <w:rPr>
                <w:rFonts w:ascii="Humnst777 BT" w:hAnsi="Humnst777 BT"/>
              </w:rPr>
              <w:t>.</w:t>
            </w:r>
            <w:r w:rsidRPr="00CB58DE">
              <w:rPr>
                <w:rFonts w:ascii="Humnst777 BT" w:hAnsi="Humnst777 BT"/>
              </w:rPr>
              <w:t>g</w:t>
            </w:r>
            <w:r w:rsidR="0018537A">
              <w:rPr>
                <w:rFonts w:ascii="Humnst777 BT" w:hAnsi="Humnst777 BT"/>
              </w:rPr>
              <w:t>.</w:t>
            </w:r>
            <w:r w:rsidRPr="00CB58DE">
              <w:rPr>
                <w:rFonts w:ascii="Humnst777 BT" w:hAnsi="Humnst777 BT"/>
              </w:rPr>
              <w:t xml:space="preserve"> doesn’t require too many core elements or require too many modules in a specific semester etc.)  </w:t>
            </w:r>
          </w:p>
        </w:tc>
      </w:tr>
      <w:tr w:rsidR="008476B7" w:rsidRPr="00936E46" w14:paraId="1C9C7E1D" w14:textId="77777777" w:rsidTr="7EBE9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2F2F2" w:themeFill="background1" w:themeFillShade="F2"/>
          </w:tcPr>
          <w:p w14:paraId="7524EBEA" w14:textId="77777777" w:rsidR="008476B7" w:rsidRPr="00CB58DE" w:rsidRDefault="008476B7" w:rsidP="008476B7">
            <w:pPr>
              <w:rPr>
                <w:rFonts w:ascii="Humnst777 BT" w:hAnsi="Humnst777 BT"/>
              </w:rPr>
            </w:pPr>
          </w:p>
        </w:tc>
        <w:tc>
          <w:tcPr>
            <w:tcW w:w="2052" w:type="dxa"/>
            <w:shd w:val="clear" w:color="auto" w:fill="9CC2E5" w:themeFill="accent5" w:themeFillTint="99"/>
          </w:tcPr>
          <w:p w14:paraId="247B5829" w14:textId="77777777" w:rsidR="008476B7" w:rsidRPr="00936E46" w:rsidRDefault="008476B7" w:rsidP="0093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  <w:b/>
                <w:bCs/>
                <w:lang w:val="en-US"/>
              </w:rPr>
            </w:pPr>
          </w:p>
        </w:tc>
        <w:tc>
          <w:tcPr>
            <w:tcW w:w="6038" w:type="dxa"/>
          </w:tcPr>
          <w:p w14:paraId="2AF1E2F4" w14:textId="6D471FB4" w:rsidR="008476B7" w:rsidRPr="00CB58DE" w:rsidRDefault="00533D4D" w:rsidP="0084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 BT" w:hAnsi="Humnst777 BT"/>
              </w:rPr>
            </w:pPr>
            <w:r w:rsidRPr="00CB58DE">
              <w:rPr>
                <w:rFonts w:ascii="Humnst777 BT" w:hAnsi="Humnst777 BT"/>
              </w:rPr>
              <w:t xml:space="preserve">For </w:t>
            </w:r>
            <w:r w:rsidR="008476B7" w:rsidRPr="00CB58DE">
              <w:rPr>
                <w:rFonts w:ascii="Humnst777 BT" w:hAnsi="Humnst777 BT"/>
              </w:rPr>
              <w:t>Level 4 module</w:t>
            </w:r>
            <w:r w:rsidRPr="00CB58DE">
              <w:rPr>
                <w:rFonts w:ascii="Humnst777 BT" w:hAnsi="Humnst777 BT"/>
              </w:rPr>
              <w:t>s</w:t>
            </w:r>
            <w:r w:rsidR="008476B7" w:rsidRPr="00CB58DE">
              <w:rPr>
                <w:rFonts w:ascii="Humnst777 BT" w:hAnsi="Humnst777 BT"/>
              </w:rPr>
              <w:t xml:space="preserve"> offered to combined honours students</w:t>
            </w:r>
            <w:r w:rsidRPr="00CB58DE">
              <w:rPr>
                <w:rFonts w:ascii="Humnst777 BT" w:hAnsi="Humnst777 BT"/>
              </w:rPr>
              <w:t xml:space="preserve"> - this</w:t>
            </w:r>
            <w:r w:rsidR="008476B7" w:rsidRPr="00CB58DE">
              <w:rPr>
                <w:rFonts w:ascii="Humnst777 BT" w:hAnsi="Humnst777 BT"/>
              </w:rPr>
              <w:t xml:space="preserve"> has been discussed with the Director of Combined Honours to assess impact and ensure marketing materials are updated.</w:t>
            </w:r>
            <w:r w:rsidR="005556FA" w:rsidRPr="00CB58DE">
              <w:rPr>
                <w:rFonts w:ascii="Humnst777 BT" w:hAnsi="Humnst777 BT"/>
              </w:rPr>
              <w:t xml:space="preserve"> T</w:t>
            </w:r>
            <w:r w:rsidR="005556FA" w:rsidRPr="00936E46">
              <w:rPr>
                <w:rFonts w:ascii="Humnst777 BT" w:hAnsi="Humnst777 BT"/>
                <w:lang w:val="en-US"/>
              </w:rPr>
              <w:t>his is detailed on the Minor Change Form.</w:t>
            </w:r>
          </w:p>
        </w:tc>
      </w:tr>
    </w:tbl>
    <w:p w14:paraId="33878B60" w14:textId="421FA23E" w:rsidR="009F557E" w:rsidRDefault="009F557E"/>
    <w:p w14:paraId="38934916" w14:textId="77777777" w:rsidR="009F557E" w:rsidRDefault="009F557E"/>
    <w:p w14:paraId="69C68D3D" w14:textId="5F7DC7C2" w:rsidR="00E03205" w:rsidRDefault="00E03205" w:rsidP="00440876"/>
    <w:p w14:paraId="438A2AFD" w14:textId="77777777" w:rsidR="00440876" w:rsidRDefault="00440876"/>
    <w:p w14:paraId="22C60620" w14:textId="77777777" w:rsidR="0008633A" w:rsidRDefault="0008633A"/>
    <w:p w14:paraId="6224D863" w14:textId="77777777" w:rsidR="00440876" w:rsidRDefault="00440876"/>
    <w:p w14:paraId="3A76DA68" w14:textId="77777777" w:rsidR="00E03205" w:rsidRDefault="00E03205"/>
    <w:p w14:paraId="4A4F9FB6" w14:textId="78A93513" w:rsidR="009B6249" w:rsidRDefault="009B6249">
      <w:r>
        <w:t xml:space="preserve"> </w:t>
      </w:r>
    </w:p>
    <w:sectPr w:rsidR="009B62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D6AA" w14:textId="77777777" w:rsidR="009512DC" w:rsidRDefault="009512DC" w:rsidP="006726E6">
      <w:pPr>
        <w:spacing w:after="0" w:line="240" w:lineRule="auto"/>
      </w:pPr>
      <w:r>
        <w:separator/>
      </w:r>
    </w:p>
  </w:endnote>
  <w:endnote w:type="continuationSeparator" w:id="0">
    <w:p w14:paraId="38A27624" w14:textId="77777777" w:rsidR="009512DC" w:rsidRDefault="009512DC" w:rsidP="0067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Lucida Sans Unicode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5015" w14:textId="77777777" w:rsidR="006726E6" w:rsidRDefault="00672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1AE7" w14:textId="5FE1A0AF" w:rsidR="006726E6" w:rsidRPr="006726E6" w:rsidRDefault="006726E6">
    <w:pPr>
      <w:pStyle w:val="Footer"/>
      <w:rPr>
        <w:sz w:val="18"/>
        <w:szCs w:val="18"/>
      </w:rPr>
    </w:pPr>
    <w:r w:rsidRPr="006726E6">
      <w:rPr>
        <w:sz w:val="18"/>
        <w:szCs w:val="18"/>
      </w:rPr>
      <w:t>Version: September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FA43" w14:textId="77777777" w:rsidR="006726E6" w:rsidRDefault="00672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7BBB" w14:textId="77777777" w:rsidR="009512DC" w:rsidRDefault="009512DC" w:rsidP="006726E6">
      <w:pPr>
        <w:spacing w:after="0" w:line="240" w:lineRule="auto"/>
      </w:pPr>
      <w:r>
        <w:separator/>
      </w:r>
    </w:p>
  </w:footnote>
  <w:footnote w:type="continuationSeparator" w:id="0">
    <w:p w14:paraId="0BBE3D0C" w14:textId="77777777" w:rsidR="009512DC" w:rsidRDefault="009512DC" w:rsidP="0067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3F66" w14:textId="77777777" w:rsidR="006726E6" w:rsidRDefault="00672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6408" w14:textId="77777777" w:rsidR="006726E6" w:rsidRDefault="00672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BF40" w14:textId="77777777" w:rsidR="006726E6" w:rsidRDefault="00672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5B2F"/>
    <w:multiLevelType w:val="hybridMultilevel"/>
    <w:tmpl w:val="BD446C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D7518"/>
    <w:multiLevelType w:val="hybridMultilevel"/>
    <w:tmpl w:val="AB126428"/>
    <w:lvl w:ilvl="0" w:tplc="E35844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B35AF"/>
    <w:multiLevelType w:val="hybridMultilevel"/>
    <w:tmpl w:val="756E7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3CF6"/>
    <w:multiLevelType w:val="hybridMultilevel"/>
    <w:tmpl w:val="BE78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58FE"/>
    <w:multiLevelType w:val="hybridMultilevel"/>
    <w:tmpl w:val="C8784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31B71"/>
    <w:multiLevelType w:val="hybridMultilevel"/>
    <w:tmpl w:val="05EC69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C507E"/>
    <w:multiLevelType w:val="hybridMultilevel"/>
    <w:tmpl w:val="7442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48284">
    <w:abstractNumId w:val="2"/>
  </w:num>
  <w:num w:numId="2" w16cid:durableId="1667972290">
    <w:abstractNumId w:val="6"/>
  </w:num>
  <w:num w:numId="3" w16cid:durableId="566037400">
    <w:abstractNumId w:val="3"/>
  </w:num>
  <w:num w:numId="4" w16cid:durableId="1945652746">
    <w:abstractNumId w:val="4"/>
  </w:num>
  <w:num w:numId="5" w16cid:durableId="587546574">
    <w:abstractNumId w:val="1"/>
  </w:num>
  <w:num w:numId="6" w16cid:durableId="1251812460">
    <w:abstractNumId w:val="5"/>
  </w:num>
  <w:num w:numId="7" w16cid:durableId="153210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D7"/>
    <w:rsid w:val="000266A3"/>
    <w:rsid w:val="000349BC"/>
    <w:rsid w:val="00057701"/>
    <w:rsid w:val="0008581B"/>
    <w:rsid w:val="000862E2"/>
    <w:rsid w:val="0008633A"/>
    <w:rsid w:val="00093D00"/>
    <w:rsid w:val="00097251"/>
    <w:rsid w:val="000A7531"/>
    <w:rsid w:val="000B305B"/>
    <w:rsid w:val="000D2499"/>
    <w:rsid w:val="00104592"/>
    <w:rsid w:val="00104F90"/>
    <w:rsid w:val="00110489"/>
    <w:rsid w:val="00133A6F"/>
    <w:rsid w:val="00135C18"/>
    <w:rsid w:val="00143669"/>
    <w:rsid w:val="00144172"/>
    <w:rsid w:val="00150BC4"/>
    <w:rsid w:val="00163A23"/>
    <w:rsid w:val="00170393"/>
    <w:rsid w:val="001769A6"/>
    <w:rsid w:val="00182EE7"/>
    <w:rsid w:val="0018537A"/>
    <w:rsid w:val="001920A9"/>
    <w:rsid w:val="001971CE"/>
    <w:rsid w:val="001A3551"/>
    <w:rsid w:val="001B3F85"/>
    <w:rsid w:val="001D0727"/>
    <w:rsid w:val="001E12D6"/>
    <w:rsid w:val="001F3CE1"/>
    <w:rsid w:val="00203EF7"/>
    <w:rsid w:val="0021135F"/>
    <w:rsid w:val="002258FD"/>
    <w:rsid w:val="00237955"/>
    <w:rsid w:val="00244FF9"/>
    <w:rsid w:val="002711C3"/>
    <w:rsid w:val="002749DF"/>
    <w:rsid w:val="0027536D"/>
    <w:rsid w:val="002816A2"/>
    <w:rsid w:val="00290307"/>
    <w:rsid w:val="002B4912"/>
    <w:rsid w:val="002C3E98"/>
    <w:rsid w:val="002D4536"/>
    <w:rsid w:val="00310525"/>
    <w:rsid w:val="00356475"/>
    <w:rsid w:val="003B093E"/>
    <w:rsid w:val="003B424F"/>
    <w:rsid w:val="003B72B3"/>
    <w:rsid w:val="003F0B5E"/>
    <w:rsid w:val="003F10BD"/>
    <w:rsid w:val="003F114F"/>
    <w:rsid w:val="00440876"/>
    <w:rsid w:val="00441724"/>
    <w:rsid w:val="00450F85"/>
    <w:rsid w:val="00487129"/>
    <w:rsid w:val="004920DB"/>
    <w:rsid w:val="0051040A"/>
    <w:rsid w:val="0051356E"/>
    <w:rsid w:val="005171CA"/>
    <w:rsid w:val="00533D4D"/>
    <w:rsid w:val="00544027"/>
    <w:rsid w:val="00545D1D"/>
    <w:rsid w:val="00547CC9"/>
    <w:rsid w:val="005556FA"/>
    <w:rsid w:val="005644EB"/>
    <w:rsid w:val="005679AA"/>
    <w:rsid w:val="005876B7"/>
    <w:rsid w:val="00595D5A"/>
    <w:rsid w:val="005B2137"/>
    <w:rsid w:val="005B3C86"/>
    <w:rsid w:val="00600F08"/>
    <w:rsid w:val="006207C6"/>
    <w:rsid w:val="00663949"/>
    <w:rsid w:val="00663CC2"/>
    <w:rsid w:val="006726E6"/>
    <w:rsid w:val="00682D42"/>
    <w:rsid w:val="006A020E"/>
    <w:rsid w:val="006B349D"/>
    <w:rsid w:val="006C29E2"/>
    <w:rsid w:val="006C52EB"/>
    <w:rsid w:val="006E4814"/>
    <w:rsid w:val="00725A9C"/>
    <w:rsid w:val="007308C1"/>
    <w:rsid w:val="00741756"/>
    <w:rsid w:val="00741C8F"/>
    <w:rsid w:val="0076210B"/>
    <w:rsid w:val="00773EC8"/>
    <w:rsid w:val="0077731C"/>
    <w:rsid w:val="007A120D"/>
    <w:rsid w:val="007A62CA"/>
    <w:rsid w:val="007B290F"/>
    <w:rsid w:val="007C5C28"/>
    <w:rsid w:val="007D4636"/>
    <w:rsid w:val="00801226"/>
    <w:rsid w:val="00811D45"/>
    <w:rsid w:val="0081381A"/>
    <w:rsid w:val="00840294"/>
    <w:rsid w:val="0084149D"/>
    <w:rsid w:val="008476B7"/>
    <w:rsid w:val="00853250"/>
    <w:rsid w:val="00855EB0"/>
    <w:rsid w:val="00880EA2"/>
    <w:rsid w:val="008819F0"/>
    <w:rsid w:val="008838BB"/>
    <w:rsid w:val="008A49DF"/>
    <w:rsid w:val="008B7F4E"/>
    <w:rsid w:val="008C1C20"/>
    <w:rsid w:val="008D1C03"/>
    <w:rsid w:val="008E17B0"/>
    <w:rsid w:val="008F564A"/>
    <w:rsid w:val="00901399"/>
    <w:rsid w:val="0091120C"/>
    <w:rsid w:val="0091621E"/>
    <w:rsid w:val="00926180"/>
    <w:rsid w:val="00936E46"/>
    <w:rsid w:val="009512DC"/>
    <w:rsid w:val="009554A0"/>
    <w:rsid w:val="00960888"/>
    <w:rsid w:val="009909CE"/>
    <w:rsid w:val="0099221F"/>
    <w:rsid w:val="009B14F0"/>
    <w:rsid w:val="009B5D71"/>
    <w:rsid w:val="009B6249"/>
    <w:rsid w:val="009B67DD"/>
    <w:rsid w:val="009E02D7"/>
    <w:rsid w:val="009E3317"/>
    <w:rsid w:val="009E4D74"/>
    <w:rsid w:val="009F4282"/>
    <w:rsid w:val="009F557E"/>
    <w:rsid w:val="00A03E52"/>
    <w:rsid w:val="00A4019B"/>
    <w:rsid w:val="00A8333E"/>
    <w:rsid w:val="00AA0952"/>
    <w:rsid w:val="00AA2D08"/>
    <w:rsid w:val="00AB6DF3"/>
    <w:rsid w:val="00AC232D"/>
    <w:rsid w:val="00AD0449"/>
    <w:rsid w:val="00AD0B47"/>
    <w:rsid w:val="00AE2AB3"/>
    <w:rsid w:val="00B04BF2"/>
    <w:rsid w:val="00B31FE3"/>
    <w:rsid w:val="00B36AF8"/>
    <w:rsid w:val="00B8116B"/>
    <w:rsid w:val="00B83BAA"/>
    <w:rsid w:val="00B86B9E"/>
    <w:rsid w:val="00BA1262"/>
    <w:rsid w:val="00BB5A1F"/>
    <w:rsid w:val="00BB6CA4"/>
    <w:rsid w:val="00BF689E"/>
    <w:rsid w:val="00C00034"/>
    <w:rsid w:val="00C05795"/>
    <w:rsid w:val="00C1067A"/>
    <w:rsid w:val="00C20573"/>
    <w:rsid w:val="00C23041"/>
    <w:rsid w:val="00C2585D"/>
    <w:rsid w:val="00C27D63"/>
    <w:rsid w:val="00C51859"/>
    <w:rsid w:val="00C63521"/>
    <w:rsid w:val="00C724B4"/>
    <w:rsid w:val="00C72677"/>
    <w:rsid w:val="00C80786"/>
    <w:rsid w:val="00C842E6"/>
    <w:rsid w:val="00CB58DE"/>
    <w:rsid w:val="00CC10C3"/>
    <w:rsid w:val="00CE2A20"/>
    <w:rsid w:val="00D15C5D"/>
    <w:rsid w:val="00D86B96"/>
    <w:rsid w:val="00D87060"/>
    <w:rsid w:val="00DA3979"/>
    <w:rsid w:val="00DA48C1"/>
    <w:rsid w:val="00DC3E51"/>
    <w:rsid w:val="00DD0725"/>
    <w:rsid w:val="00DE1D35"/>
    <w:rsid w:val="00E03205"/>
    <w:rsid w:val="00E06A0B"/>
    <w:rsid w:val="00E17EEF"/>
    <w:rsid w:val="00E44432"/>
    <w:rsid w:val="00E64F11"/>
    <w:rsid w:val="00E707BA"/>
    <w:rsid w:val="00E9174E"/>
    <w:rsid w:val="00E933DB"/>
    <w:rsid w:val="00EA1D27"/>
    <w:rsid w:val="00EC6C8A"/>
    <w:rsid w:val="00EF79A2"/>
    <w:rsid w:val="00F31CFB"/>
    <w:rsid w:val="00F56CF3"/>
    <w:rsid w:val="00F608FE"/>
    <w:rsid w:val="00F763CC"/>
    <w:rsid w:val="00F83B27"/>
    <w:rsid w:val="00F94CB9"/>
    <w:rsid w:val="00F94D68"/>
    <w:rsid w:val="00F96A2E"/>
    <w:rsid w:val="00FA1537"/>
    <w:rsid w:val="00FB38EB"/>
    <w:rsid w:val="00FF702E"/>
    <w:rsid w:val="010B9D6B"/>
    <w:rsid w:val="01F119E4"/>
    <w:rsid w:val="020ED5AD"/>
    <w:rsid w:val="021C99FE"/>
    <w:rsid w:val="041CA112"/>
    <w:rsid w:val="04A8CE55"/>
    <w:rsid w:val="0641C039"/>
    <w:rsid w:val="08404E51"/>
    <w:rsid w:val="08E74956"/>
    <w:rsid w:val="0DAD5CEA"/>
    <w:rsid w:val="0E623A27"/>
    <w:rsid w:val="1079B3C7"/>
    <w:rsid w:val="124ADC9C"/>
    <w:rsid w:val="12FE3A10"/>
    <w:rsid w:val="133BC8B0"/>
    <w:rsid w:val="162BD3EB"/>
    <w:rsid w:val="1C19CC28"/>
    <w:rsid w:val="1C84D826"/>
    <w:rsid w:val="1C94B5E5"/>
    <w:rsid w:val="200E3875"/>
    <w:rsid w:val="20569038"/>
    <w:rsid w:val="205E4857"/>
    <w:rsid w:val="20ABEEC2"/>
    <w:rsid w:val="22C84378"/>
    <w:rsid w:val="23F25239"/>
    <w:rsid w:val="2557D6CC"/>
    <w:rsid w:val="258E229A"/>
    <w:rsid w:val="25CC1FCF"/>
    <w:rsid w:val="2976802B"/>
    <w:rsid w:val="2DE11953"/>
    <w:rsid w:val="2E7BA598"/>
    <w:rsid w:val="31CFA99C"/>
    <w:rsid w:val="3402156F"/>
    <w:rsid w:val="3FD816CD"/>
    <w:rsid w:val="41F66764"/>
    <w:rsid w:val="4295BFCB"/>
    <w:rsid w:val="440BEBF6"/>
    <w:rsid w:val="4463E8D7"/>
    <w:rsid w:val="45545F73"/>
    <w:rsid w:val="4BB72FA7"/>
    <w:rsid w:val="4E602869"/>
    <w:rsid w:val="4EDEF8BE"/>
    <w:rsid w:val="55EFA51D"/>
    <w:rsid w:val="564F5B41"/>
    <w:rsid w:val="56EB83EF"/>
    <w:rsid w:val="575168FB"/>
    <w:rsid w:val="586E6053"/>
    <w:rsid w:val="5B7ECB86"/>
    <w:rsid w:val="5C6BFC10"/>
    <w:rsid w:val="5F678FB5"/>
    <w:rsid w:val="60F780EC"/>
    <w:rsid w:val="61718EA4"/>
    <w:rsid w:val="66351EEE"/>
    <w:rsid w:val="69AA9B89"/>
    <w:rsid w:val="6A2C3B3D"/>
    <w:rsid w:val="6A62AE8F"/>
    <w:rsid w:val="6BAFD6A3"/>
    <w:rsid w:val="6E51132D"/>
    <w:rsid w:val="6FE2FDCA"/>
    <w:rsid w:val="75701BCB"/>
    <w:rsid w:val="760F4198"/>
    <w:rsid w:val="777CAAC5"/>
    <w:rsid w:val="77E62B77"/>
    <w:rsid w:val="7A344D0C"/>
    <w:rsid w:val="7D486D2E"/>
    <w:rsid w:val="7EBE9959"/>
    <w:rsid w:val="7ED90279"/>
    <w:rsid w:val="7F51133C"/>
    <w:rsid w:val="7FB0B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0676"/>
  <w15:chartTrackingRefBased/>
  <w15:docId w15:val="{236882C0-D050-4FB9-A5A5-038A7C38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251"/>
    <w:rPr>
      <w:color w:val="0563C1" w:themeColor="hyperlink"/>
      <w:u w:val="single"/>
    </w:rPr>
  </w:style>
  <w:style w:type="paragraph" w:customStyle="1" w:styleId="Tabletext">
    <w:name w:val="Table text"/>
    <w:basedOn w:val="Normal"/>
    <w:link w:val="TabletextChar"/>
    <w:qFormat/>
    <w:rsid w:val="00097251"/>
    <w:pPr>
      <w:spacing w:before="40" w:after="40" w:line="240" w:lineRule="auto"/>
    </w:pPr>
    <w:rPr>
      <w:rFonts w:ascii="Humnst777 BT" w:hAnsi="Humnst777 BT"/>
    </w:rPr>
  </w:style>
  <w:style w:type="character" w:customStyle="1" w:styleId="TabletextChar">
    <w:name w:val="Table text Char"/>
    <w:basedOn w:val="DefaultParagraphFont"/>
    <w:link w:val="Tabletext"/>
    <w:rsid w:val="00097251"/>
    <w:rPr>
      <w:rFonts w:ascii="Humnst777 BT" w:hAnsi="Humnst777 BT"/>
    </w:rPr>
  </w:style>
  <w:style w:type="character" w:styleId="CommentReference">
    <w:name w:val="annotation reference"/>
    <w:basedOn w:val="DefaultParagraphFont"/>
    <w:uiPriority w:val="99"/>
    <w:semiHidden/>
    <w:unhideWhenUsed/>
    <w:rsid w:val="00097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7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2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0876"/>
    <w:pPr>
      <w:ind w:left="720"/>
      <w:contextualSpacing/>
    </w:pPr>
  </w:style>
  <w:style w:type="table" w:styleId="TableGrid">
    <w:name w:val="Table Grid"/>
    <w:basedOn w:val="TableNormal"/>
    <w:uiPriority w:val="39"/>
    <w:rsid w:val="009F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093D0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04B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5C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E6"/>
  </w:style>
  <w:style w:type="paragraph" w:styleId="Footer">
    <w:name w:val="footer"/>
    <w:basedOn w:val="Normal"/>
    <w:link w:val="FooterChar"/>
    <w:uiPriority w:val="99"/>
    <w:unhideWhenUsed/>
    <w:rsid w:val="0067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terbury.ac.uk/Preview/1/quality-and-standards-office/management-of-the-academic-portfolio/course-change.aspx" TargetMode="External"/><Relationship Id="rId13" Type="http://schemas.openxmlformats.org/officeDocument/2006/relationships/hyperlink" Target="https://www.canterbury.ac.uk/quality-and-standards-office/docs/Assessment-Types-2022.xls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anterbury.ac.uk/quality-and-standards-office/management-of-the-academic-portfolio/course-change.aspx" TargetMode="External"/><Relationship Id="rId12" Type="http://schemas.openxmlformats.org/officeDocument/2006/relationships/hyperlink" Target="https://www.canterbury.ac.uk/quality-and-standards-office/docs/Change-Policy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terbury.ac.uk/quality-and-standards-office/regulations-policies-and-procedures/regulation-and-credit-framework/academic-framework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anterbury.ac.uk/quality-and-standards-office/management-of-the-academic-portfolio/docs/Course-change/Which-Change-Guidance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canterbury.ac.uk/quality-and-standards-office/docs/Change-Policy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Fredricks</dc:creator>
  <cp:keywords/>
  <dc:description/>
  <cp:lastModifiedBy>Helen Audsley</cp:lastModifiedBy>
  <cp:revision>48</cp:revision>
  <dcterms:created xsi:type="dcterms:W3CDTF">2022-07-25T11:05:00Z</dcterms:created>
  <dcterms:modified xsi:type="dcterms:W3CDTF">2022-09-26T14:42:00Z</dcterms:modified>
</cp:coreProperties>
</file>