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5"/>
        <w:gridCol w:w="5758"/>
      </w:tblGrid>
      <w:tr w:rsidR="005859CE" w:rsidRPr="00C10BA3" w14:paraId="22FB0015" w14:textId="77777777" w:rsidTr="00D2061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0E5C62" w14:textId="4A9D1DA4" w:rsidR="005859CE" w:rsidRDefault="00CE6D20" w:rsidP="00D20616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Blended Learning</w:t>
            </w:r>
            <w:r w:rsidR="005859CE">
              <w:rPr>
                <w:rFonts w:cstheme="minorHAnsi"/>
                <w:b/>
                <w:bCs/>
              </w:rPr>
              <w:t xml:space="preserve"> </w:t>
            </w:r>
            <w:r w:rsidR="005859CE" w:rsidRPr="00C10BA3">
              <w:rPr>
                <w:rFonts w:cstheme="minorHAnsi"/>
                <w:b/>
                <w:bCs/>
              </w:rPr>
              <w:t xml:space="preserve">Module </w:t>
            </w:r>
            <w:r w:rsidR="005859CE">
              <w:rPr>
                <w:rFonts w:cstheme="minorHAnsi"/>
                <w:b/>
                <w:bCs/>
              </w:rPr>
              <w:t>R</w:t>
            </w:r>
            <w:r w:rsidR="005859CE" w:rsidRPr="00C10BA3">
              <w:rPr>
                <w:rFonts w:cstheme="minorHAnsi"/>
                <w:b/>
                <w:bCs/>
              </w:rPr>
              <w:t>oadmap</w:t>
            </w:r>
            <w:r w:rsidR="005859CE">
              <w:rPr>
                <w:rFonts w:cstheme="minorHAnsi"/>
                <w:b/>
                <w:bCs/>
              </w:rPr>
              <w:t xml:space="preserve"> for </w:t>
            </w:r>
            <w:r w:rsidR="00AF0FAF">
              <w:rPr>
                <w:rFonts w:cstheme="minorHAnsi"/>
                <w:b/>
                <w:bCs/>
              </w:rPr>
              <w:t>XXXX</w:t>
            </w:r>
            <w:r w:rsidR="005859C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108CE" w:rsidRPr="00C10BA3" w14:paraId="73B9A99F" w14:textId="77777777" w:rsidTr="00D20616">
        <w:tc>
          <w:tcPr>
            <w:tcW w:w="2263" w:type="dxa"/>
          </w:tcPr>
          <w:p w14:paraId="6DBECFCE" w14:textId="4A01E251" w:rsidR="004108CE" w:rsidRPr="00A107EC" w:rsidRDefault="00A61318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will </w:t>
            </w:r>
            <w:r w:rsidR="00DD6D29">
              <w:rPr>
                <w:rFonts w:cstheme="minorHAnsi"/>
                <w:b/>
                <w:bCs/>
              </w:rPr>
              <w:t>blended learni</w:t>
            </w:r>
            <w:r w:rsidR="00182B21">
              <w:rPr>
                <w:rFonts w:cstheme="minorHAnsi"/>
                <w:b/>
                <w:bCs/>
              </w:rPr>
              <w:t xml:space="preserve">ng work </w:t>
            </w:r>
            <w:r w:rsidR="0004213C">
              <w:rPr>
                <w:rFonts w:cstheme="minorHAnsi"/>
                <w:b/>
                <w:bCs/>
              </w:rPr>
              <w:t>in</w:t>
            </w:r>
            <w:r w:rsidR="00182B21">
              <w:rPr>
                <w:rFonts w:cstheme="minorHAnsi"/>
                <w:b/>
                <w:bCs/>
              </w:rPr>
              <w:t xml:space="preserve"> this module?</w:t>
            </w:r>
          </w:p>
        </w:tc>
        <w:tc>
          <w:tcPr>
            <w:tcW w:w="6753" w:type="dxa"/>
            <w:gridSpan w:val="2"/>
          </w:tcPr>
          <w:p w14:paraId="0189C368" w14:textId="083F64BA" w:rsidR="00572740" w:rsidRDefault="00104364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module will be taught p</w:t>
            </w:r>
            <w:r w:rsidR="00466E31">
              <w:rPr>
                <w:rFonts w:cstheme="minorHAnsi"/>
                <w:sz w:val="20"/>
                <w:szCs w:val="20"/>
              </w:rPr>
              <w:t>redominantly f</w:t>
            </w:r>
            <w:r w:rsidR="004C6C91">
              <w:rPr>
                <w:rFonts w:cstheme="minorHAnsi"/>
                <w:sz w:val="20"/>
                <w:szCs w:val="20"/>
              </w:rPr>
              <w:t>ace to face,</w:t>
            </w:r>
            <w:r w:rsidR="00466E31">
              <w:rPr>
                <w:rFonts w:cstheme="minorHAnsi"/>
                <w:sz w:val="20"/>
                <w:szCs w:val="20"/>
              </w:rPr>
              <w:t xml:space="preserve"> however, </w:t>
            </w:r>
            <w:r w:rsidR="00D3621F">
              <w:rPr>
                <w:rFonts w:cstheme="minorHAnsi"/>
                <w:sz w:val="20"/>
                <w:szCs w:val="20"/>
              </w:rPr>
              <w:t xml:space="preserve">there will be instances </w:t>
            </w:r>
            <w:r w:rsidR="00466E31">
              <w:rPr>
                <w:rFonts w:cstheme="minorHAnsi"/>
                <w:sz w:val="20"/>
                <w:szCs w:val="20"/>
              </w:rPr>
              <w:t xml:space="preserve">where </w:t>
            </w:r>
            <w:r w:rsidR="00D3621F">
              <w:rPr>
                <w:rFonts w:cstheme="minorHAnsi"/>
                <w:sz w:val="20"/>
                <w:szCs w:val="20"/>
              </w:rPr>
              <w:t xml:space="preserve">online learning will </w:t>
            </w:r>
            <w:r w:rsidR="00A7295B">
              <w:rPr>
                <w:rFonts w:cstheme="minorHAnsi"/>
                <w:sz w:val="20"/>
                <w:szCs w:val="20"/>
              </w:rPr>
              <w:t xml:space="preserve">enhance the module content. In this module </w:t>
            </w:r>
            <w:r w:rsidR="00572740">
              <w:rPr>
                <w:rFonts w:cstheme="minorHAnsi"/>
                <w:sz w:val="20"/>
                <w:szCs w:val="20"/>
              </w:rPr>
              <w:t>online content will include</w:t>
            </w:r>
            <w:r w:rsidR="00260710">
              <w:rPr>
                <w:rFonts w:cstheme="minorHAnsi"/>
                <w:sz w:val="20"/>
                <w:szCs w:val="20"/>
              </w:rPr>
              <w:t xml:space="preserve"> (delete as appropriate)</w:t>
            </w:r>
          </w:p>
          <w:p w14:paraId="45BF0856" w14:textId="72A4C70C" w:rsidR="00260710" w:rsidRDefault="007004F7" w:rsidP="00CE619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Content </w:t>
            </w:r>
            <w:r w:rsidR="00AC2EC2">
              <w:rPr>
                <w:rFonts w:cstheme="minorHAnsi"/>
                <w:sz w:val="20"/>
                <w:szCs w:val="20"/>
              </w:rPr>
              <w:t xml:space="preserve">that is consistent across </w:t>
            </w:r>
            <w:r w:rsidR="007347BD">
              <w:rPr>
                <w:rFonts w:cstheme="minorHAnsi"/>
                <w:sz w:val="20"/>
                <w:szCs w:val="20"/>
              </w:rPr>
              <w:t>multiple groups/cohorts taking the module</w:t>
            </w:r>
            <w:r w:rsidR="00AC2EC2">
              <w:rPr>
                <w:rFonts w:cstheme="minorHAnsi"/>
                <w:sz w:val="20"/>
                <w:szCs w:val="20"/>
              </w:rPr>
              <w:t xml:space="preserve"> </w:t>
            </w:r>
            <w:r w:rsidR="00914C52">
              <w:rPr>
                <w:rFonts w:cstheme="minorHAnsi"/>
                <w:sz w:val="20"/>
                <w:szCs w:val="20"/>
              </w:rPr>
              <w:t>e.g.,</w:t>
            </w:r>
            <w:r w:rsidR="00AC2EC2">
              <w:rPr>
                <w:rFonts w:cstheme="minorHAnsi"/>
                <w:sz w:val="20"/>
                <w:szCs w:val="20"/>
              </w:rPr>
              <w:t xml:space="preserve"> </w:t>
            </w:r>
            <w:r w:rsidR="00CE6199" w:rsidRPr="00CE6199">
              <w:rPr>
                <w:rFonts w:cstheme="minorHAnsi"/>
                <w:sz w:val="20"/>
                <w:szCs w:val="20"/>
              </w:rPr>
              <w:t>Introduction to module, assessment advice</w:t>
            </w:r>
          </w:p>
          <w:p w14:paraId="487FC376" w14:textId="2E817A12" w:rsidR="006F3D6B" w:rsidRDefault="008E54D3" w:rsidP="00CE619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Preparation for </w:t>
            </w:r>
            <w:r w:rsidR="00914C52">
              <w:rPr>
                <w:rFonts w:cstheme="minorHAnsi"/>
                <w:sz w:val="20"/>
                <w:szCs w:val="20"/>
              </w:rPr>
              <w:t>face-to-face</w:t>
            </w:r>
            <w:r w:rsidR="000425FF">
              <w:rPr>
                <w:rFonts w:cstheme="minorHAnsi"/>
                <w:sz w:val="20"/>
                <w:szCs w:val="20"/>
              </w:rPr>
              <w:t xml:space="preserve"> activities</w:t>
            </w:r>
            <w:r w:rsidR="00F71DDB">
              <w:rPr>
                <w:rFonts w:cstheme="minorHAnsi"/>
                <w:sz w:val="20"/>
                <w:szCs w:val="20"/>
              </w:rPr>
              <w:t>. The reason for this is</w:t>
            </w:r>
            <w:r w:rsidR="006F3D6B">
              <w:rPr>
                <w:rFonts w:cstheme="minorHAnsi"/>
                <w:sz w:val="20"/>
                <w:szCs w:val="20"/>
              </w:rPr>
              <w:t xml:space="preserve"> (delete as appropriate)</w:t>
            </w:r>
          </w:p>
          <w:p w14:paraId="6A7FCB50" w14:textId="77777777" w:rsidR="006F3D6B" w:rsidRDefault="000425FF" w:rsidP="006F3D6B">
            <w:pPr>
              <w:pStyle w:val="ListParagraph"/>
              <w:spacing w:before="60" w:after="60"/>
              <w:ind w:left="72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49C6">
              <w:rPr>
                <w:rFonts w:cstheme="minorHAnsi"/>
                <w:sz w:val="20"/>
                <w:szCs w:val="20"/>
              </w:rPr>
              <w:t xml:space="preserve">you can work at your own pace, </w:t>
            </w:r>
          </w:p>
          <w:p w14:paraId="12228E95" w14:textId="77777777" w:rsidR="006F3D6B" w:rsidRDefault="008449C6" w:rsidP="006F3D6B">
            <w:pPr>
              <w:pStyle w:val="ListParagraph"/>
              <w:spacing w:before="60" w:after="60"/>
              <w:ind w:left="72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have more time for reflection, </w:t>
            </w:r>
          </w:p>
          <w:p w14:paraId="4BA18D75" w14:textId="43A7A99C" w:rsidR="008E54D3" w:rsidRDefault="008449C6" w:rsidP="006F3D6B">
            <w:pPr>
              <w:pStyle w:val="ListParagraph"/>
              <w:spacing w:before="60" w:after="60"/>
              <w:ind w:left="72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allows </w:t>
            </w:r>
            <w:r w:rsidR="00F71DDB">
              <w:rPr>
                <w:rFonts w:cstheme="minorHAnsi"/>
                <w:sz w:val="20"/>
                <w:szCs w:val="20"/>
              </w:rPr>
              <w:t>everyone time to contribute</w:t>
            </w:r>
          </w:p>
          <w:p w14:paraId="02CDB803" w14:textId="7F33E61D" w:rsidR="00CE6199" w:rsidRDefault="00984A68" w:rsidP="00CE619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Activities that contribute to the d</w:t>
            </w:r>
            <w:r w:rsidR="00C4290E">
              <w:rPr>
                <w:rFonts w:cstheme="minorHAnsi"/>
                <w:sz w:val="20"/>
                <w:szCs w:val="20"/>
              </w:rPr>
              <w:t>evelopment of digital capabilities</w:t>
            </w:r>
          </w:p>
          <w:p w14:paraId="0B50265B" w14:textId="529C17E8" w:rsidR="00C4290E" w:rsidRDefault="00F871A5" w:rsidP="00CE619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Activities that are more sustainable online</w:t>
            </w:r>
            <w:r w:rsidR="00C4290E">
              <w:rPr>
                <w:rFonts w:cstheme="minorHAnsi"/>
                <w:sz w:val="20"/>
                <w:szCs w:val="20"/>
              </w:rPr>
              <w:t xml:space="preserve"> </w:t>
            </w:r>
            <w:r w:rsidR="00914C52">
              <w:rPr>
                <w:rFonts w:cstheme="minorHAnsi"/>
                <w:sz w:val="20"/>
                <w:szCs w:val="20"/>
              </w:rPr>
              <w:t>e.g.,</w:t>
            </w:r>
            <w:r w:rsidR="00C4290E">
              <w:rPr>
                <w:rFonts w:cstheme="minorHAnsi"/>
                <w:sz w:val="20"/>
                <w:szCs w:val="20"/>
              </w:rPr>
              <w:t xml:space="preserve"> guest speakers not having to travel</w:t>
            </w:r>
          </w:p>
          <w:p w14:paraId="19865A4F" w14:textId="2176664F" w:rsidR="00C4290E" w:rsidRPr="00CE6199" w:rsidRDefault="00C4290E" w:rsidP="00CE619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Formative assessment</w:t>
            </w:r>
          </w:p>
          <w:p w14:paraId="4C36F74A" w14:textId="503B3DEE" w:rsidR="004108CE" w:rsidRPr="00765DA3" w:rsidRDefault="009E567D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(For further </w:t>
            </w:r>
            <w:r w:rsidR="008338A5">
              <w:rPr>
                <w:rFonts w:cstheme="minorHAnsi"/>
                <w:sz w:val="20"/>
                <w:szCs w:val="20"/>
              </w:rPr>
              <w:t xml:space="preserve">guidance see CCCU </w:t>
            </w:r>
            <w:hyperlink r:id="rId11" w:history="1">
              <w:r w:rsidR="008338A5" w:rsidRPr="008338A5">
                <w:rPr>
                  <w:rStyle w:val="Hyperlink"/>
                  <w:rFonts w:cstheme="minorHAnsi"/>
                  <w:sz w:val="20"/>
                  <w:szCs w:val="20"/>
                </w:rPr>
                <w:t>Blended Learning Guidance</w:t>
              </w:r>
            </w:hyperlink>
            <w:r w:rsidR="008338A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108CE" w:rsidRPr="00C10BA3" w14:paraId="2688DA0B" w14:textId="77777777" w:rsidTr="00D20616">
        <w:tc>
          <w:tcPr>
            <w:tcW w:w="2263" w:type="dxa"/>
          </w:tcPr>
          <w:p w14:paraId="001E1848" w14:textId="31AADE05" w:rsidR="004108CE" w:rsidRPr="00A107EC" w:rsidRDefault="00365E55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much time will I be expected to spend </w:t>
            </w:r>
            <w:r w:rsidR="005A62F9">
              <w:rPr>
                <w:rFonts w:cstheme="minorHAnsi"/>
                <w:b/>
                <w:bCs/>
              </w:rPr>
              <w:t xml:space="preserve">studying </w:t>
            </w:r>
            <w:r w:rsidR="00D3621F">
              <w:rPr>
                <w:rFonts w:cstheme="minorHAnsi"/>
                <w:b/>
                <w:bCs/>
              </w:rPr>
              <w:t>this module</w:t>
            </w:r>
            <w:r w:rsidR="00CD26CD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753" w:type="dxa"/>
            <w:gridSpan w:val="2"/>
          </w:tcPr>
          <w:p w14:paraId="5D6D0DE1" w14:textId="19BBBFFF" w:rsidR="004108CE" w:rsidRDefault="000105F6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be taught X hours on campus per week</w:t>
            </w:r>
            <w:r w:rsidR="00B30492">
              <w:rPr>
                <w:rFonts w:cstheme="minorHAnsi"/>
                <w:sz w:val="20"/>
                <w:szCs w:val="20"/>
              </w:rPr>
              <w:t xml:space="preserve">. </w:t>
            </w:r>
            <w:r w:rsidR="00B4339A">
              <w:rPr>
                <w:rFonts w:cstheme="minorHAnsi"/>
                <w:sz w:val="20"/>
                <w:szCs w:val="20"/>
              </w:rPr>
              <w:br/>
              <w:t xml:space="preserve">Session </w:t>
            </w:r>
            <w:r w:rsidR="00B30492">
              <w:rPr>
                <w:rFonts w:cstheme="minorHAnsi"/>
                <w:sz w:val="20"/>
                <w:szCs w:val="20"/>
              </w:rPr>
              <w:t>frequency. Every Monday/Tuesday/Wednesday/Thursday/Friday</w:t>
            </w:r>
            <w:r w:rsidR="0028721C">
              <w:rPr>
                <w:rFonts w:cstheme="minorHAnsi"/>
                <w:sz w:val="20"/>
                <w:szCs w:val="20"/>
              </w:rPr>
              <w:t xml:space="preserve"> (delete as </w:t>
            </w:r>
            <w:r w:rsidR="007D5204">
              <w:rPr>
                <w:rFonts w:cstheme="minorHAnsi"/>
                <w:sz w:val="20"/>
                <w:szCs w:val="20"/>
              </w:rPr>
              <w:t>appropriate</w:t>
            </w:r>
            <w:r w:rsidR="0028721C">
              <w:rPr>
                <w:rFonts w:cstheme="minorHAnsi"/>
                <w:sz w:val="20"/>
                <w:szCs w:val="20"/>
              </w:rPr>
              <w:t>)</w:t>
            </w:r>
            <w:r w:rsidR="007D5204">
              <w:rPr>
                <w:rFonts w:cstheme="minorHAnsi"/>
                <w:sz w:val="20"/>
                <w:szCs w:val="20"/>
              </w:rPr>
              <w:t xml:space="preserve"> time.</w:t>
            </w:r>
          </w:p>
          <w:p w14:paraId="52B65C9E" w14:textId="77777777" w:rsidR="004C68BF" w:rsidRDefault="004C68BF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260B819" w14:textId="77D9025C" w:rsidR="006A3BE3" w:rsidRDefault="00FC6E9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have X hours online</w:t>
            </w:r>
            <w:r w:rsidR="00AA33F9">
              <w:rPr>
                <w:rFonts w:cstheme="minorHAnsi"/>
                <w:sz w:val="20"/>
                <w:szCs w:val="20"/>
              </w:rPr>
              <w:t xml:space="preserve"> were y</w:t>
            </w:r>
            <w:r w:rsidR="000105F6">
              <w:rPr>
                <w:rFonts w:cstheme="minorHAnsi"/>
                <w:sz w:val="20"/>
                <w:szCs w:val="20"/>
              </w:rPr>
              <w:t xml:space="preserve">ou will </w:t>
            </w:r>
            <w:r w:rsidR="00572740">
              <w:rPr>
                <w:rFonts w:cstheme="minorHAnsi"/>
                <w:sz w:val="20"/>
                <w:szCs w:val="20"/>
              </w:rPr>
              <w:t xml:space="preserve">be expected to </w:t>
            </w:r>
            <w:r>
              <w:rPr>
                <w:rFonts w:cstheme="minorHAnsi"/>
                <w:sz w:val="20"/>
                <w:szCs w:val="20"/>
              </w:rPr>
              <w:t xml:space="preserve">spend X hours </w:t>
            </w:r>
            <w:r w:rsidR="00572740">
              <w:rPr>
                <w:rFonts w:cstheme="minorHAnsi"/>
                <w:sz w:val="20"/>
                <w:szCs w:val="20"/>
              </w:rPr>
              <w:t>engag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="00572740">
              <w:rPr>
                <w:rFonts w:cstheme="minorHAnsi"/>
                <w:sz w:val="20"/>
                <w:szCs w:val="20"/>
              </w:rPr>
              <w:t xml:space="preserve"> pre-session tasks </w:t>
            </w:r>
            <w:r w:rsidR="00A24D76">
              <w:rPr>
                <w:rFonts w:cstheme="minorHAnsi"/>
                <w:sz w:val="20"/>
                <w:szCs w:val="20"/>
              </w:rPr>
              <w:t>on Blackboard</w:t>
            </w:r>
            <w:r w:rsidR="00E25585">
              <w:rPr>
                <w:rFonts w:cstheme="minorHAnsi"/>
                <w:sz w:val="20"/>
                <w:szCs w:val="20"/>
              </w:rPr>
              <w:t>.</w:t>
            </w:r>
            <w:r w:rsidR="000E6E51">
              <w:rPr>
                <w:rFonts w:cstheme="minorHAnsi"/>
                <w:sz w:val="20"/>
                <w:szCs w:val="20"/>
              </w:rPr>
              <w:br/>
            </w:r>
          </w:p>
          <w:p w14:paraId="226535B7" w14:textId="14B1E07E" w:rsidR="008E0941" w:rsidRDefault="00C068C2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learning time for this course includes </w:t>
            </w:r>
            <w:r w:rsidR="00274756">
              <w:rPr>
                <w:rFonts w:cstheme="minorHAnsi"/>
                <w:sz w:val="20"/>
                <w:szCs w:val="20"/>
              </w:rPr>
              <w:t>your pre-</w:t>
            </w:r>
            <w:r w:rsidR="003E21BC">
              <w:rPr>
                <w:rFonts w:cstheme="minorHAnsi"/>
                <w:sz w:val="20"/>
                <w:szCs w:val="20"/>
              </w:rPr>
              <w:t>session</w:t>
            </w:r>
            <w:r w:rsidR="00274756">
              <w:rPr>
                <w:rFonts w:cstheme="minorHAnsi"/>
                <w:sz w:val="20"/>
                <w:szCs w:val="20"/>
              </w:rPr>
              <w:t xml:space="preserve"> tasks </w:t>
            </w:r>
            <w:r w:rsidR="003E21BC">
              <w:rPr>
                <w:rFonts w:cstheme="minorHAnsi"/>
                <w:sz w:val="20"/>
                <w:szCs w:val="20"/>
              </w:rPr>
              <w:t xml:space="preserve">and </w:t>
            </w:r>
            <w:r w:rsidR="00624BFC">
              <w:rPr>
                <w:rFonts w:cstheme="minorHAnsi"/>
                <w:sz w:val="20"/>
                <w:szCs w:val="20"/>
              </w:rPr>
              <w:t xml:space="preserve">you will gain far more from your </w:t>
            </w:r>
            <w:r w:rsidR="00315AD4">
              <w:rPr>
                <w:rFonts w:cstheme="minorHAnsi"/>
                <w:sz w:val="20"/>
                <w:szCs w:val="20"/>
              </w:rPr>
              <w:t>sessions on campus if you engage fully in any pre-session tasks. This is known as ‘Blended Learning’</w:t>
            </w:r>
            <w:r w:rsidR="00CA53CA">
              <w:rPr>
                <w:rFonts w:cstheme="minorHAnsi"/>
                <w:sz w:val="20"/>
                <w:szCs w:val="20"/>
              </w:rPr>
              <w:t xml:space="preserve"> </w:t>
            </w:r>
            <w:r w:rsidR="008532C2">
              <w:rPr>
                <w:rFonts w:cstheme="minorHAnsi"/>
                <w:sz w:val="20"/>
                <w:szCs w:val="20"/>
              </w:rPr>
              <w:t>and evidence has shown that this approach can improve your learning</w:t>
            </w:r>
            <w:r w:rsidR="00D50719">
              <w:rPr>
                <w:rFonts w:cstheme="minorHAnsi"/>
                <w:sz w:val="20"/>
                <w:szCs w:val="20"/>
              </w:rPr>
              <w:t xml:space="preserve"> as well as providing flexibility for you.</w:t>
            </w:r>
          </w:p>
          <w:p w14:paraId="1D963556" w14:textId="2FB43696" w:rsidR="004C68BF" w:rsidRPr="00765DA3" w:rsidRDefault="004C68BF" w:rsidP="006D18F3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108CE" w:rsidRPr="00C10BA3" w14:paraId="1C8A6B4C" w14:textId="77777777" w:rsidTr="00D20616">
        <w:tc>
          <w:tcPr>
            <w:tcW w:w="2263" w:type="dxa"/>
          </w:tcPr>
          <w:p w14:paraId="0716537E" w14:textId="317010C6" w:rsidR="004108CE" w:rsidRPr="00A107EC" w:rsidRDefault="006A3BE3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will I know what I am supposed</w:t>
            </w:r>
            <w:r w:rsidR="006D18F3">
              <w:rPr>
                <w:rFonts w:cstheme="minorHAnsi"/>
                <w:b/>
                <w:bCs/>
              </w:rPr>
              <w:t xml:space="preserve"> to be studying?</w:t>
            </w:r>
          </w:p>
        </w:tc>
        <w:tc>
          <w:tcPr>
            <w:tcW w:w="6753" w:type="dxa"/>
            <w:gridSpan w:val="2"/>
          </w:tcPr>
          <w:p w14:paraId="3FC2B996" w14:textId="43FB5128" w:rsidR="006D18F3" w:rsidRDefault="006D18F3" w:rsidP="006D18F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sequence of your learning will be shown clearly on Blackboard where the content is organised by Topic</w:t>
            </w:r>
            <w:r w:rsidR="00F15D5C">
              <w:rPr>
                <w:rFonts w:cstheme="minorHAnsi"/>
                <w:sz w:val="20"/>
                <w:szCs w:val="20"/>
              </w:rPr>
              <w:t xml:space="preserve"> or Subject</w:t>
            </w:r>
            <w:r>
              <w:rPr>
                <w:rFonts w:cstheme="minorHAnsi"/>
                <w:sz w:val="20"/>
                <w:szCs w:val="20"/>
              </w:rPr>
              <w:t xml:space="preserve">/Week/Session (delete as appropriate). </w:t>
            </w:r>
          </w:p>
          <w:p w14:paraId="7E8DAF48" w14:textId="77777777" w:rsidR="004108CE" w:rsidRPr="00765DA3" w:rsidRDefault="004108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59CE" w:rsidRPr="00C10BA3" w14:paraId="58569953" w14:textId="77777777" w:rsidTr="00D20616">
        <w:trPr>
          <w:trHeight w:val="822"/>
        </w:trPr>
        <w:tc>
          <w:tcPr>
            <w:tcW w:w="2263" w:type="dxa"/>
            <w:vMerge w:val="restart"/>
          </w:tcPr>
          <w:p w14:paraId="08A82AAE" w14:textId="773AA038" w:rsidR="005859CE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bookmarkStart w:id="0" w:name="_Hlk45717850"/>
            <w:r w:rsidRPr="00C10BA3">
              <w:rPr>
                <w:rFonts w:cstheme="minorHAnsi"/>
                <w:b/>
                <w:bCs/>
              </w:rPr>
              <w:t xml:space="preserve">What kind of learning will </w:t>
            </w:r>
            <w:r w:rsidR="00CD26CD">
              <w:rPr>
                <w:rFonts w:cstheme="minorHAnsi"/>
                <w:b/>
                <w:bCs/>
              </w:rPr>
              <w:t>I</w:t>
            </w:r>
            <w:r w:rsidRPr="00C10BA3">
              <w:rPr>
                <w:rFonts w:cstheme="minorHAnsi"/>
                <w:b/>
                <w:bCs/>
              </w:rPr>
              <w:t xml:space="preserve"> experience in this module?</w:t>
            </w:r>
          </w:p>
          <w:p w14:paraId="367A1B45" w14:textId="6FB5F252" w:rsidR="005859CE" w:rsidRPr="003F6592" w:rsidRDefault="005859CE" w:rsidP="00D2061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5" w:type="dxa"/>
          </w:tcPr>
          <w:p w14:paraId="0574F98A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D8CB6" wp14:editId="164BF358">
                  <wp:extent cx="422564" cy="34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395E3F1" w14:textId="3319C03F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lecture</w:t>
            </w:r>
            <w:r w:rsidR="00B24EAE">
              <w:rPr>
                <w:rFonts w:cstheme="minorHAnsi"/>
                <w:sz w:val="20"/>
                <w:szCs w:val="20"/>
              </w:rPr>
              <w:t>r</w:t>
            </w:r>
            <w:r w:rsidRPr="00765DA3">
              <w:rPr>
                <w:rFonts w:cstheme="minorHAnsi"/>
                <w:sz w:val="20"/>
                <w:szCs w:val="20"/>
              </w:rPr>
              <w:t>s</w:t>
            </w:r>
            <w:r w:rsidR="00B24EAE">
              <w:rPr>
                <w:rFonts w:cstheme="minorHAnsi"/>
                <w:sz w:val="20"/>
                <w:szCs w:val="20"/>
              </w:rPr>
              <w:t xml:space="preserve"> input</w:t>
            </w:r>
            <w:r w:rsidRPr="00765DA3">
              <w:rPr>
                <w:rFonts w:cstheme="minorHAnsi"/>
                <w:sz w:val="20"/>
                <w:szCs w:val="20"/>
              </w:rPr>
              <w:t>:</w:t>
            </w:r>
            <w:r w:rsidR="00F9687B">
              <w:rPr>
                <w:rFonts w:cstheme="minorHAnsi"/>
                <w:sz w:val="20"/>
                <w:szCs w:val="20"/>
              </w:rPr>
              <w:t xml:space="preserve"> </w:t>
            </w:r>
            <w:r w:rsidR="005F00C5">
              <w:rPr>
                <w:rFonts w:cstheme="minorHAnsi"/>
                <w:sz w:val="20"/>
                <w:szCs w:val="20"/>
              </w:rPr>
              <w:t xml:space="preserve">where appropriate </w:t>
            </w:r>
            <w:r w:rsidR="00B87A5A">
              <w:rPr>
                <w:rFonts w:cstheme="minorHAnsi"/>
                <w:sz w:val="20"/>
                <w:szCs w:val="20"/>
              </w:rPr>
              <w:t>sessions</w:t>
            </w:r>
            <w:r w:rsidR="00F9687B">
              <w:rPr>
                <w:rFonts w:cstheme="minorHAnsi"/>
                <w:sz w:val="20"/>
                <w:szCs w:val="20"/>
              </w:rPr>
              <w:t xml:space="preserve"> will</w:t>
            </w:r>
            <w:r w:rsidR="0079743D">
              <w:rPr>
                <w:rFonts w:cstheme="minorHAnsi"/>
                <w:sz w:val="20"/>
                <w:szCs w:val="20"/>
              </w:rPr>
              <w:t xml:space="preserve"> also</w:t>
            </w:r>
            <w:r w:rsidR="00F9687B">
              <w:rPr>
                <w:rFonts w:cstheme="minorHAnsi"/>
                <w:sz w:val="20"/>
                <w:szCs w:val="20"/>
              </w:rPr>
              <w:t xml:space="preserve"> be</w:t>
            </w:r>
            <w:r w:rsidRPr="00765DA3">
              <w:rPr>
                <w:rFonts w:cstheme="minorHAnsi"/>
                <w:sz w:val="20"/>
                <w:szCs w:val="20"/>
              </w:rPr>
              <w:t xml:space="preserve"> recorded </w:t>
            </w:r>
            <w:r w:rsidR="00F65E88">
              <w:rPr>
                <w:rFonts w:cstheme="minorHAnsi"/>
                <w:sz w:val="20"/>
                <w:szCs w:val="20"/>
              </w:rPr>
              <w:t>so you can ‘ReCap’ your learning where you need to</w:t>
            </w:r>
            <w:r w:rsidR="00D5749C">
              <w:rPr>
                <w:rFonts w:cstheme="minorHAnsi"/>
                <w:sz w:val="20"/>
                <w:szCs w:val="20"/>
              </w:rPr>
              <w:t>. Watching record</w:t>
            </w:r>
            <w:r w:rsidR="00300C62">
              <w:rPr>
                <w:rFonts w:cstheme="minorHAnsi"/>
                <w:sz w:val="20"/>
                <w:szCs w:val="20"/>
              </w:rPr>
              <w:t>ings</w:t>
            </w:r>
            <w:r w:rsidR="00D5749C">
              <w:rPr>
                <w:rFonts w:cstheme="minorHAnsi"/>
                <w:sz w:val="20"/>
                <w:szCs w:val="20"/>
              </w:rPr>
              <w:t xml:space="preserve"> </w:t>
            </w:r>
            <w:r w:rsidR="007D17FC">
              <w:rPr>
                <w:rFonts w:cstheme="minorHAnsi"/>
                <w:sz w:val="20"/>
                <w:szCs w:val="20"/>
              </w:rPr>
              <w:t xml:space="preserve">does not provide the same experience as </w:t>
            </w:r>
            <w:r w:rsidR="00D5749C">
              <w:rPr>
                <w:rFonts w:cstheme="minorHAnsi"/>
                <w:sz w:val="20"/>
                <w:szCs w:val="20"/>
              </w:rPr>
              <w:t xml:space="preserve">attending </w:t>
            </w:r>
            <w:r w:rsidR="00DD59F1">
              <w:rPr>
                <w:rFonts w:cstheme="minorHAnsi"/>
                <w:sz w:val="20"/>
                <w:szCs w:val="20"/>
              </w:rPr>
              <w:t>in person and you will</w:t>
            </w:r>
            <w:r w:rsidR="008837C9">
              <w:rPr>
                <w:rFonts w:cstheme="minorHAnsi"/>
                <w:sz w:val="20"/>
                <w:szCs w:val="20"/>
              </w:rPr>
              <w:t xml:space="preserve"> be </w:t>
            </w:r>
            <w:r w:rsidR="00DD59F1">
              <w:rPr>
                <w:rFonts w:cstheme="minorHAnsi"/>
                <w:sz w:val="20"/>
                <w:szCs w:val="20"/>
              </w:rPr>
              <w:t xml:space="preserve">expected to attend </w:t>
            </w:r>
            <w:r w:rsidR="0060199E">
              <w:rPr>
                <w:rFonts w:cstheme="minorHAnsi"/>
                <w:sz w:val="20"/>
                <w:szCs w:val="20"/>
              </w:rPr>
              <w:t>sessions on campus</w:t>
            </w:r>
            <w:r w:rsidR="00DD59F1">
              <w:rPr>
                <w:rFonts w:cstheme="minorHAnsi"/>
                <w:sz w:val="20"/>
                <w:szCs w:val="20"/>
              </w:rPr>
              <w:t xml:space="preserve"> </w:t>
            </w:r>
            <w:r w:rsidR="00BE3DE5">
              <w:rPr>
                <w:rFonts w:cstheme="minorHAnsi"/>
                <w:sz w:val="20"/>
                <w:szCs w:val="20"/>
              </w:rPr>
              <w:t xml:space="preserve">unless you have a legitimate reason not to </w:t>
            </w:r>
            <w:r w:rsidR="008837C9">
              <w:rPr>
                <w:rFonts w:cstheme="minorHAnsi"/>
                <w:sz w:val="20"/>
                <w:szCs w:val="20"/>
              </w:rPr>
              <w:t>e.g.,</w:t>
            </w:r>
            <w:r w:rsidR="00A7437D">
              <w:rPr>
                <w:rFonts w:cstheme="minorHAnsi"/>
                <w:sz w:val="20"/>
                <w:szCs w:val="20"/>
              </w:rPr>
              <w:t xml:space="preserve"> </w:t>
            </w:r>
            <w:r w:rsidR="00914C52">
              <w:rPr>
                <w:rFonts w:cstheme="minorHAnsi"/>
                <w:sz w:val="20"/>
                <w:szCs w:val="20"/>
              </w:rPr>
              <w:t>Illness</w:t>
            </w:r>
            <w:r w:rsidR="00A7437D">
              <w:rPr>
                <w:rFonts w:cstheme="minorHAnsi"/>
                <w:sz w:val="20"/>
                <w:szCs w:val="20"/>
              </w:rPr>
              <w:t xml:space="preserve"> or bereavement.</w:t>
            </w:r>
          </w:p>
        </w:tc>
      </w:tr>
      <w:tr w:rsidR="005859CE" w:rsidRPr="00C10BA3" w14:paraId="39D0B8C6" w14:textId="77777777" w:rsidTr="00D20616">
        <w:trPr>
          <w:trHeight w:val="834"/>
        </w:trPr>
        <w:tc>
          <w:tcPr>
            <w:tcW w:w="2263" w:type="dxa"/>
            <w:vMerge/>
          </w:tcPr>
          <w:p w14:paraId="0D44D9E6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256810BE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AC3268C" wp14:editId="2BAAAFD0">
                  <wp:extent cx="429491" cy="429491"/>
                  <wp:effectExtent l="0" t="0" r="8890" b="8890"/>
                  <wp:docPr id="3" name="Graphic 3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45707BE" w14:textId="2FB074EA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interactive sessions</w:t>
            </w:r>
            <w:r w:rsidR="0060199E">
              <w:rPr>
                <w:rFonts w:cstheme="minorHAnsi"/>
                <w:sz w:val="20"/>
                <w:szCs w:val="20"/>
              </w:rPr>
              <w:t xml:space="preserve"> e.g. workshop or seminars</w:t>
            </w:r>
            <w:r w:rsidRPr="00765DA3">
              <w:rPr>
                <w:rFonts w:cstheme="minorHAnsi"/>
                <w:sz w:val="20"/>
                <w:szCs w:val="20"/>
              </w:rPr>
              <w:t xml:space="preserve">: </w:t>
            </w:r>
            <w:r w:rsidR="0060199E">
              <w:rPr>
                <w:rFonts w:cstheme="minorHAnsi"/>
                <w:sz w:val="20"/>
                <w:szCs w:val="20"/>
              </w:rPr>
              <w:t xml:space="preserve">these will be </w:t>
            </w:r>
            <w:r w:rsidR="00F65E88">
              <w:rPr>
                <w:rFonts w:cstheme="minorHAnsi"/>
                <w:sz w:val="20"/>
                <w:szCs w:val="20"/>
              </w:rPr>
              <w:t xml:space="preserve">predominantly </w:t>
            </w:r>
            <w:r w:rsidRPr="00765DA3">
              <w:rPr>
                <w:rFonts w:cstheme="minorHAnsi"/>
                <w:sz w:val="20"/>
                <w:szCs w:val="20"/>
              </w:rPr>
              <w:t>on campu</w:t>
            </w:r>
            <w:r w:rsidR="000F187A">
              <w:rPr>
                <w:rFonts w:cstheme="minorHAnsi"/>
                <w:sz w:val="20"/>
                <w:szCs w:val="20"/>
              </w:rPr>
              <w:t xml:space="preserve">s. </w:t>
            </w:r>
          </w:p>
        </w:tc>
      </w:tr>
      <w:tr w:rsidR="005859CE" w:rsidRPr="00C10BA3" w14:paraId="6E3CEB78" w14:textId="77777777" w:rsidTr="00D20616">
        <w:trPr>
          <w:trHeight w:val="871"/>
        </w:trPr>
        <w:tc>
          <w:tcPr>
            <w:tcW w:w="2263" w:type="dxa"/>
            <w:vMerge/>
          </w:tcPr>
          <w:p w14:paraId="174D58F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0D5B2885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278837" wp14:editId="5DA19506">
                  <wp:extent cx="387927" cy="387927"/>
                  <wp:effectExtent l="0" t="0" r="0" b="0"/>
                  <wp:docPr id="4" name="Graphic 4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E0BB099" w14:textId="4524BE58" w:rsidR="009C7AB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by engaging in activities, group tasks and discussion, sharing ideas in online forums</w:t>
            </w:r>
            <w:r w:rsidR="00951403">
              <w:rPr>
                <w:rFonts w:cstheme="minorHAnsi"/>
                <w:sz w:val="20"/>
                <w:szCs w:val="20"/>
              </w:rPr>
              <w:t xml:space="preserve"> and </w:t>
            </w:r>
            <w:r w:rsidR="005434B9">
              <w:rPr>
                <w:rFonts w:cstheme="minorHAnsi"/>
                <w:sz w:val="20"/>
                <w:szCs w:val="20"/>
              </w:rPr>
              <w:t>face to face</w:t>
            </w:r>
            <w:r w:rsidR="005E50E6">
              <w:rPr>
                <w:rFonts w:cstheme="minorHAnsi"/>
                <w:sz w:val="20"/>
                <w:szCs w:val="20"/>
              </w:rPr>
              <w:t xml:space="preserve">. In these sessions you are expected to </w:t>
            </w:r>
            <w:r w:rsidR="00914C52">
              <w:rPr>
                <w:rFonts w:cstheme="minorHAnsi"/>
                <w:sz w:val="20"/>
                <w:szCs w:val="20"/>
              </w:rPr>
              <w:t>participate</w:t>
            </w:r>
            <w:r w:rsidR="00477943">
              <w:rPr>
                <w:rFonts w:cstheme="minorHAnsi"/>
                <w:sz w:val="20"/>
                <w:szCs w:val="20"/>
              </w:rPr>
              <w:t xml:space="preserve">. </w:t>
            </w:r>
            <w:r w:rsidR="009C7A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2E248B" w14:textId="246B04C6" w:rsidR="005859CE" w:rsidRPr="00FB31A4" w:rsidRDefault="009C7AB3" w:rsidP="00FB31A4">
            <w:pPr>
              <w:spacing w:before="60" w:after="60"/>
              <w:ind w:left="29"/>
              <w:rPr>
                <w:rFonts w:cstheme="minorHAnsi"/>
                <w:sz w:val="20"/>
                <w:szCs w:val="20"/>
              </w:rPr>
            </w:pPr>
            <w:r w:rsidRPr="00FB31A4">
              <w:rPr>
                <w:rFonts w:cstheme="minorHAnsi"/>
                <w:sz w:val="20"/>
                <w:szCs w:val="20"/>
              </w:rPr>
              <w:t>You are expected to attend all sessions – whether they are face to face or online</w:t>
            </w:r>
            <w:r w:rsidR="00FB31A4">
              <w:rPr>
                <w:rFonts w:cstheme="minorHAnsi"/>
                <w:sz w:val="20"/>
                <w:szCs w:val="20"/>
              </w:rPr>
              <w:t xml:space="preserve"> (unless there are extenuating circumstances)</w:t>
            </w:r>
          </w:p>
        </w:tc>
      </w:tr>
      <w:tr w:rsidR="005859CE" w:rsidRPr="00C10BA3" w14:paraId="3D13D861" w14:textId="77777777" w:rsidTr="00D20616">
        <w:tc>
          <w:tcPr>
            <w:tcW w:w="2263" w:type="dxa"/>
            <w:vMerge/>
          </w:tcPr>
          <w:p w14:paraId="322247E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82DB672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DEE85D" wp14:editId="748501D0">
                  <wp:extent cx="470881" cy="470881"/>
                  <wp:effectExtent l="0" t="0" r="5715" b="0"/>
                  <wp:docPr id="5" name="Graphic 5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3CBD1678" w14:textId="2C2256D9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Independent study: engaging with Blackboard resources, handouts, screencasts, </w:t>
            </w:r>
            <w:r w:rsidR="00E34437">
              <w:rPr>
                <w:rFonts w:cstheme="minorHAnsi"/>
                <w:sz w:val="20"/>
                <w:szCs w:val="20"/>
              </w:rPr>
              <w:t xml:space="preserve">re-capping any sections of the lecture </w:t>
            </w:r>
            <w:r w:rsidR="00505299">
              <w:rPr>
                <w:rFonts w:cstheme="minorHAnsi"/>
                <w:sz w:val="20"/>
                <w:szCs w:val="20"/>
              </w:rPr>
              <w:t>that</w:t>
            </w:r>
            <w:r w:rsidR="00DA4A6F">
              <w:rPr>
                <w:rFonts w:cstheme="minorHAnsi"/>
                <w:sz w:val="20"/>
                <w:szCs w:val="20"/>
              </w:rPr>
              <w:t xml:space="preserve"> you need to.</w:t>
            </w:r>
          </w:p>
        </w:tc>
      </w:tr>
      <w:bookmarkEnd w:id="0"/>
      <w:tr w:rsidR="005859CE" w:rsidRPr="00C10BA3" w14:paraId="06CB7698" w14:textId="77777777" w:rsidTr="00D20616">
        <w:tc>
          <w:tcPr>
            <w:tcW w:w="2263" w:type="dxa"/>
          </w:tcPr>
          <w:p w14:paraId="3D60D276" w14:textId="56326351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lastRenderedPageBreak/>
              <w:t>How will we communicate</w:t>
            </w:r>
            <w:r w:rsidR="00CD26CD">
              <w:rPr>
                <w:rFonts w:cstheme="minorHAnsi"/>
                <w:b/>
                <w:bCs/>
              </w:rPr>
              <w:t xml:space="preserve"> with you</w:t>
            </w:r>
            <w:r w:rsidRPr="00C10BA3">
              <w:rPr>
                <w:rFonts w:cstheme="minorHAnsi"/>
                <w:b/>
                <w:bCs/>
              </w:rPr>
              <w:t xml:space="preserve">? </w:t>
            </w:r>
          </w:p>
        </w:tc>
        <w:tc>
          <w:tcPr>
            <w:tcW w:w="995" w:type="dxa"/>
          </w:tcPr>
          <w:p w14:paraId="4676CEC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DA37416" wp14:editId="72A93CA4">
                  <wp:extent cx="443230" cy="443230"/>
                  <wp:effectExtent l="0" t="0" r="0" b="0"/>
                  <wp:docPr id="20" name="Graphic 20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at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E8C226" w14:textId="404C10C9" w:rsidR="005859CE" w:rsidRPr="00765DA3" w:rsidRDefault="005859CE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Blackboard announcement</w:t>
            </w:r>
            <w:r w:rsidR="005434B9">
              <w:rPr>
                <w:rFonts w:cstheme="minorHAnsi"/>
                <w:sz w:val="20"/>
                <w:szCs w:val="20"/>
              </w:rPr>
              <w:t>s</w:t>
            </w:r>
            <w:r w:rsidR="00386A4C">
              <w:rPr>
                <w:rFonts w:cstheme="minorHAnsi"/>
                <w:sz w:val="20"/>
                <w:szCs w:val="20"/>
              </w:rPr>
              <w:t xml:space="preserve"> or messages</w:t>
            </w:r>
            <w:r w:rsidR="0060587D">
              <w:rPr>
                <w:rFonts w:cstheme="minorHAnsi"/>
                <w:sz w:val="20"/>
                <w:szCs w:val="20"/>
              </w:rPr>
              <w:t xml:space="preserve"> (you can manage notifications from the Blackboard home page and download the app to your mobile device</w:t>
            </w:r>
          </w:p>
          <w:p w14:paraId="0A56C973" w14:textId="7C181DA1" w:rsidR="005859CE" w:rsidRDefault="005434B9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CCCU 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Email </w:t>
            </w:r>
            <w:r>
              <w:rPr>
                <w:rFonts w:cstheme="minorHAnsi"/>
                <w:sz w:val="20"/>
                <w:szCs w:val="20"/>
              </w:rPr>
              <w:t>(contact IT service desk for advice on how you can forward your CCCU email to a personal email if that would be preferable</w:t>
            </w:r>
            <w:r w:rsidR="0060587D">
              <w:rPr>
                <w:rFonts w:cstheme="minorHAnsi"/>
                <w:sz w:val="20"/>
                <w:szCs w:val="20"/>
              </w:rPr>
              <w:t>)</w:t>
            </w:r>
          </w:p>
          <w:p w14:paraId="3A6D1BAC" w14:textId="546942C3" w:rsidR="00BC1C9B" w:rsidRPr="00477943" w:rsidRDefault="00BC1C9B" w:rsidP="00477943">
            <w:pPr>
              <w:spacing w:before="60" w:after="60"/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5859CE" w:rsidRPr="00C10BA3" w14:paraId="3D202655" w14:textId="77777777" w:rsidTr="00D20616">
        <w:tc>
          <w:tcPr>
            <w:tcW w:w="2263" w:type="dxa"/>
          </w:tcPr>
          <w:p w14:paraId="4691684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you be supported? </w:t>
            </w:r>
          </w:p>
        </w:tc>
        <w:tc>
          <w:tcPr>
            <w:tcW w:w="995" w:type="dxa"/>
          </w:tcPr>
          <w:p w14:paraId="535A5B6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18858CF" wp14:editId="46C3F981">
                  <wp:extent cx="443057" cy="443057"/>
                  <wp:effectExtent l="0" t="0" r="0" b="0"/>
                  <wp:docPr id="19" name="Graphic 19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ardroom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8" cy="44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7BE09E7" w14:textId="4499A4DB" w:rsidR="00942A7D" w:rsidRDefault="00942A7D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="00E318CC">
              <w:rPr>
                <w:rFonts w:cstheme="minorHAnsi"/>
                <w:sz w:val="20"/>
                <w:szCs w:val="20"/>
              </w:rPr>
              <w:t xml:space="preserve">queries relating to this module content please contact the module lead or tutors. If you have technical questions </w:t>
            </w:r>
            <w:r w:rsidR="002B22DC">
              <w:rPr>
                <w:rFonts w:cstheme="minorHAnsi"/>
                <w:sz w:val="20"/>
                <w:szCs w:val="20"/>
              </w:rPr>
              <w:t xml:space="preserve">relating to the technologies being </w:t>
            </w:r>
            <w:r w:rsidR="008837C9">
              <w:rPr>
                <w:rFonts w:cstheme="minorHAnsi"/>
                <w:sz w:val="20"/>
                <w:szCs w:val="20"/>
              </w:rPr>
              <w:t>used,</w:t>
            </w:r>
            <w:r w:rsidR="002B22DC">
              <w:rPr>
                <w:rFonts w:cstheme="minorHAnsi"/>
                <w:sz w:val="20"/>
                <w:szCs w:val="20"/>
              </w:rPr>
              <w:t xml:space="preserve"> please contact the i-zone</w:t>
            </w:r>
          </w:p>
          <w:p w14:paraId="5A7BCC13" w14:textId="4A3754D3" w:rsidR="00E05F32" w:rsidRDefault="00E05F32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 tutorials with your Personal Academic Tutor (PAT)</w:t>
            </w:r>
          </w:p>
          <w:p w14:paraId="296DA03D" w14:textId="78E67D28" w:rsidR="003C19A6" w:rsidRDefault="003C19A6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 support services signposted via the Blackboard Assist on the home page of Blackboard</w:t>
            </w:r>
          </w:p>
          <w:p w14:paraId="65063140" w14:textId="5A5DB1C1" w:rsidR="005859CE" w:rsidRPr="00E05F32" w:rsidRDefault="00E05F32" w:rsidP="00E05F3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5859CE" w:rsidRPr="00E05F32">
              <w:rPr>
                <w:rFonts w:cstheme="minorHAnsi"/>
                <w:sz w:val="20"/>
                <w:szCs w:val="20"/>
              </w:rPr>
              <w:t>rop-in sessions</w:t>
            </w:r>
            <w:r w:rsidR="00F13D4A">
              <w:rPr>
                <w:rFonts w:cstheme="minorHAnsi"/>
                <w:sz w:val="20"/>
                <w:szCs w:val="20"/>
              </w:rPr>
              <w:t xml:space="preserve"> for module (delete if not </w:t>
            </w:r>
            <w:r w:rsidR="00283B28">
              <w:rPr>
                <w:rFonts w:cstheme="minorHAnsi"/>
                <w:sz w:val="20"/>
                <w:szCs w:val="20"/>
              </w:rPr>
              <w:t>relevant to module</w:t>
            </w:r>
            <w:r w:rsidR="00F13D4A">
              <w:rPr>
                <w:rFonts w:cstheme="minorHAnsi"/>
                <w:sz w:val="20"/>
                <w:szCs w:val="20"/>
              </w:rPr>
              <w:t>)</w:t>
            </w:r>
          </w:p>
          <w:p w14:paraId="399C52C5" w14:textId="46C55782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1:1 appointment by arrangement or via Teams</w:t>
            </w:r>
            <w:r w:rsidR="00F13D4A">
              <w:rPr>
                <w:rFonts w:cstheme="minorHAnsi"/>
                <w:sz w:val="20"/>
                <w:szCs w:val="20"/>
              </w:rPr>
              <w:t xml:space="preserve"> (delete if not </w:t>
            </w:r>
            <w:r w:rsidR="00283B28">
              <w:rPr>
                <w:rFonts w:cstheme="minorHAnsi"/>
                <w:sz w:val="20"/>
                <w:szCs w:val="20"/>
              </w:rPr>
              <w:t>relevant to module</w:t>
            </w:r>
            <w:r w:rsidR="00F13D4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21138" w:rsidRPr="00C10BA3" w14:paraId="360252BE" w14:textId="77777777" w:rsidTr="00D20616">
        <w:tc>
          <w:tcPr>
            <w:tcW w:w="2263" w:type="dxa"/>
          </w:tcPr>
          <w:p w14:paraId="6F37350B" w14:textId="20F2FC9C" w:rsidR="00B21138" w:rsidRPr="00C10BA3" w:rsidRDefault="00B21138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Further Guidance and Support</w:t>
            </w:r>
          </w:p>
        </w:tc>
        <w:tc>
          <w:tcPr>
            <w:tcW w:w="995" w:type="dxa"/>
          </w:tcPr>
          <w:p w14:paraId="33FAC914" w14:textId="7CFAEF6E" w:rsidR="00B21138" w:rsidRDefault="00E57753" w:rsidP="00D20616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1C05828" wp14:editId="0B02C07D">
                  <wp:extent cx="450272" cy="450272"/>
                  <wp:effectExtent l="0" t="0" r="0" b="0"/>
                  <wp:docPr id="9" name="Graphic 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code1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02B29CC8" w14:textId="0D7758DD" w:rsidR="00B21138" w:rsidRDefault="00000000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hyperlink r:id="rId25" w:history="1">
              <w:r w:rsidR="00012BAB" w:rsidRPr="00C92057">
                <w:rPr>
                  <w:rStyle w:val="Hyperlink"/>
                  <w:rFonts w:cstheme="minorHAnsi"/>
                  <w:sz w:val="20"/>
                  <w:szCs w:val="20"/>
                </w:rPr>
                <w:t>Learning Skills Hub</w:t>
              </w:r>
            </w:hyperlink>
          </w:p>
          <w:p w14:paraId="3FBBE50B" w14:textId="5FF7D017" w:rsidR="00012BAB" w:rsidRDefault="00000000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hyperlink r:id="rId26" w:history="1">
              <w:r w:rsidR="00012BAB" w:rsidRPr="00C92057">
                <w:rPr>
                  <w:rStyle w:val="Hyperlink"/>
                  <w:rFonts w:cstheme="minorHAnsi"/>
                  <w:sz w:val="20"/>
                  <w:szCs w:val="20"/>
                </w:rPr>
                <w:t>I-zone and IT Hub</w:t>
              </w:r>
            </w:hyperlink>
          </w:p>
          <w:p w14:paraId="3700D544" w14:textId="2B390FF3" w:rsidR="00012BAB" w:rsidRDefault="00000000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hyperlink r:id="rId27" w:history="1">
              <w:r w:rsidR="00012BAB" w:rsidRPr="00BC1C9B">
                <w:rPr>
                  <w:rStyle w:val="Hyperlink"/>
                  <w:rFonts w:cstheme="minorHAnsi"/>
                  <w:sz w:val="20"/>
                  <w:szCs w:val="20"/>
                </w:rPr>
                <w:t>TEL knowled</w:t>
              </w:r>
              <w:r w:rsidR="00C92057" w:rsidRPr="00BC1C9B">
                <w:rPr>
                  <w:rStyle w:val="Hyperlink"/>
                  <w:rFonts w:cstheme="minorHAnsi"/>
                  <w:sz w:val="20"/>
                  <w:szCs w:val="20"/>
                </w:rPr>
                <w:t>ge base for Students</w:t>
              </w:r>
            </w:hyperlink>
          </w:p>
        </w:tc>
      </w:tr>
      <w:tr w:rsidR="005859CE" w:rsidRPr="00C10BA3" w14:paraId="7250CD11" w14:textId="77777777" w:rsidTr="00D20616">
        <w:tc>
          <w:tcPr>
            <w:tcW w:w="2263" w:type="dxa"/>
          </w:tcPr>
          <w:p w14:paraId="156B71C2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will you</w:t>
            </w:r>
            <w:r w:rsidRPr="00C10BA3">
              <w:rPr>
                <w:rFonts w:cstheme="minorHAnsi"/>
                <w:b/>
                <w:bCs/>
              </w:rPr>
              <w:t xml:space="preserve"> be assessed?</w:t>
            </w:r>
          </w:p>
        </w:tc>
        <w:tc>
          <w:tcPr>
            <w:tcW w:w="995" w:type="dxa"/>
          </w:tcPr>
          <w:p w14:paraId="55F7E203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747B0D0" wp14:editId="44570B6E">
                  <wp:extent cx="353291" cy="353291"/>
                  <wp:effectExtent l="0" t="0" r="0" b="8890"/>
                  <wp:docPr id="14" name="Graphic 14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06D9F320" w14:textId="0AADB363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See handbook </w:t>
            </w:r>
            <w:r w:rsidR="002335B1">
              <w:rPr>
                <w:rFonts w:cstheme="minorHAnsi"/>
                <w:sz w:val="20"/>
                <w:szCs w:val="20"/>
              </w:rPr>
              <w:t>for details of assessment</w:t>
            </w:r>
          </w:p>
        </w:tc>
      </w:tr>
      <w:tr w:rsidR="005859CE" w:rsidRPr="00C10BA3" w14:paraId="0AEF2723" w14:textId="77777777" w:rsidTr="00D20616">
        <w:tc>
          <w:tcPr>
            <w:tcW w:w="2263" w:type="dxa"/>
          </w:tcPr>
          <w:p w14:paraId="20D7F91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resources for you to access</w:t>
            </w:r>
          </w:p>
        </w:tc>
        <w:tc>
          <w:tcPr>
            <w:tcW w:w="995" w:type="dxa"/>
          </w:tcPr>
          <w:p w14:paraId="187BC132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A5E5C11" wp14:editId="70FEE199">
                  <wp:extent cx="443345" cy="443345"/>
                  <wp:effectExtent l="0" t="0" r="0" b="0"/>
                  <wp:docPr id="17" name="Graphic 17" descr="Usb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bstick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3" cy="4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EAF6CD6" w14:textId="30BDFCEF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All resources are available from Blackboard, including</w:t>
            </w:r>
            <w:r w:rsidR="00165567">
              <w:rPr>
                <w:rFonts w:cstheme="minorHAnsi"/>
                <w:sz w:val="20"/>
                <w:szCs w:val="20"/>
              </w:rPr>
              <w:t xml:space="preserve"> (delete where appropriate</w:t>
            </w:r>
            <w:r w:rsidR="00A33E2F">
              <w:rPr>
                <w:rFonts w:cstheme="minorHAnsi"/>
                <w:sz w:val="20"/>
                <w:szCs w:val="20"/>
              </w:rPr>
              <w:t>)</w:t>
            </w:r>
            <w:r w:rsidRPr="00765DA3">
              <w:rPr>
                <w:rFonts w:cstheme="minorHAnsi"/>
                <w:sz w:val="20"/>
                <w:szCs w:val="20"/>
              </w:rPr>
              <w:t>:</w:t>
            </w:r>
            <w:r w:rsidRPr="00765DA3">
              <w:rPr>
                <w:rFonts w:cstheme="minorHAnsi"/>
                <w:sz w:val="20"/>
                <w:szCs w:val="20"/>
              </w:rPr>
              <w:br/>
              <w:t xml:space="preserve">Screencasts of </w:t>
            </w:r>
            <w:r w:rsidR="00914C52" w:rsidRPr="00765DA3">
              <w:rPr>
                <w:rFonts w:cstheme="minorHAnsi"/>
                <w:sz w:val="20"/>
                <w:szCs w:val="20"/>
              </w:rPr>
              <w:t>mini lectures</w:t>
            </w:r>
            <w:r w:rsidRPr="00765DA3">
              <w:rPr>
                <w:rFonts w:cstheme="minorHAnsi"/>
                <w:sz w:val="20"/>
                <w:szCs w:val="20"/>
              </w:rPr>
              <w:t xml:space="preserve">; </w:t>
            </w:r>
            <w:r w:rsidR="00D4099C" w:rsidRPr="00765DA3">
              <w:rPr>
                <w:rFonts w:cstheme="minorHAnsi"/>
                <w:sz w:val="20"/>
                <w:szCs w:val="20"/>
              </w:rPr>
              <w:t>pre-and</w:t>
            </w:r>
            <w:r w:rsidRPr="00765DA3">
              <w:rPr>
                <w:rFonts w:cstheme="minorHAnsi"/>
                <w:sz w:val="20"/>
                <w:szCs w:val="20"/>
              </w:rPr>
              <w:t xml:space="preserve"> post-lecture tasks; reading list; Guidance </w:t>
            </w:r>
            <w:r w:rsidR="001706EA">
              <w:rPr>
                <w:rFonts w:cstheme="minorHAnsi"/>
                <w:sz w:val="20"/>
                <w:szCs w:val="20"/>
              </w:rPr>
              <w:t>on the</w:t>
            </w:r>
            <w:r w:rsidRPr="00765DA3">
              <w:rPr>
                <w:rFonts w:cstheme="minorHAnsi"/>
                <w:sz w:val="20"/>
                <w:szCs w:val="20"/>
              </w:rPr>
              <w:t xml:space="preserve"> preparation for interactive sessions; </w:t>
            </w:r>
          </w:p>
        </w:tc>
      </w:tr>
      <w:tr w:rsidR="005859CE" w:rsidRPr="00C10BA3" w14:paraId="27B57496" w14:textId="77777777" w:rsidTr="00D20616">
        <w:tc>
          <w:tcPr>
            <w:tcW w:w="2263" w:type="dxa"/>
          </w:tcPr>
          <w:p w14:paraId="13BD1194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technologi</w:t>
            </w:r>
            <w:r>
              <w:rPr>
                <w:rFonts w:cstheme="minorHAnsi"/>
                <w:b/>
                <w:bCs/>
              </w:rPr>
              <w:t xml:space="preserve">es which will </w:t>
            </w:r>
            <w:r w:rsidRPr="00C10BA3">
              <w:rPr>
                <w:rFonts w:cstheme="minorHAnsi"/>
                <w:b/>
                <w:bCs/>
              </w:rPr>
              <w:t>support</w:t>
            </w:r>
            <w:r>
              <w:rPr>
                <w:rFonts w:cstheme="minorHAnsi"/>
                <w:b/>
                <w:bCs/>
              </w:rPr>
              <w:t xml:space="preserve"> your</w:t>
            </w:r>
            <w:r w:rsidRPr="00C10BA3">
              <w:rPr>
                <w:rFonts w:cstheme="minorHAnsi"/>
                <w:b/>
                <w:bCs/>
              </w:rPr>
              <w:t xml:space="preserve"> learning</w:t>
            </w:r>
          </w:p>
        </w:tc>
        <w:tc>
          <w:tcPr>
            <w:tcW w:w="995" w:type="dxa"/>
          </w:tcPr>
          <w:p w14:paraId="57582684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D219A39" wp14:editId="0D266F6D">
                  <wp:extent cx="450272" cy="450272"/>
                  <wp:effectExtent l="0" t="0" r="0" b="0"/>
                  <wp:docPr id="22" name="Graphic 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code1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52E027B" w14:textId="344CE269" w:rsidR="00D351C4" w:rsidRPr="00D351C4" w:rsidRDefault="00D351C4" w:rsidP="00D351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(Delete the technologies that are not used in this module)</w:t>
            </w:r>
          </w:p>
          <w:p w14:paraId="6BCA884B" w14:textId="380AD486" w:rsidR="005859CE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Blackboard: screencasts, discussion</w:t>
            </w:r>
            <w:r w:rsidR="00A33E2F">
              <w:rPr>
                <w:rFonts w:cstheme="minorHAnsi"/>
                <w:sz w:val="20"/>
                <w:szCs w:val="20"/>
              </w:rPr>
              <w:t>s</w:t>
            </w:r>
            <w:r w:rsidRPr="00765DA3">
              <w:rPr>
                <w:rFonts w:cstheme="minorHAnsi"/>
                <w:sz w:val="20"/>
                <w:szCs w:val="20"/>
              </w:rPr>
              <w:t xml:space="preserve">, PDF handouts, </w:t>
            </w:r>
          </w:p>
          <w:p w14:paraId="1287FC56" w14:textId="57411394" w:rsidR="00FA24C0" w:rsidRDefault="00FA24C0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ReCap </w:t>
            </w:r>
            <w:r w:rsidR="00B54EBA">
              <w:rPr>
                <w:rFonts w:cstheme="minorHAnsi"/>
                <w:sz w:val="20"/>
                <w:szCs w:val="20"/>
              </w:rPr>
              <w:t>for recorded sessions</w:t>
            </w:r>
          </w:p>
          <w:p w14:paraId="61498AA0" w14:textId="56B9EBDC" w:rsidR="00FA24C0" w:rsidRDefault="00FB2C6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Padlet</w:t>
            </w:r>
            <w:r w:rsidR="00B54EBA">
              <w:rPr>
                <w:rFonts w:cstheme="minorHAnsi"/>
                <w:sz w:val="20"/>
                <w:szCs w:val="20"/>
              </w:rPr>
              <w:t xml:space="preserve"> for </w:t>
            </w:r>
            <w:r w:rsidR="000E431A">
              <w:rPr>
                <w:rFonts w:cstheme="minorHAnsi"/>
                <w:sz w:val="20"/>
                <w:szCs w:val="20"/>
              </w:rPr>
              <w:t>collaborative tasks</w:t>
            </w:r>
          </w:p>
          <w:p w14:paraId="092280DC" w14:textId="4E42FA10" w:rsidR="00FB2C63" w:rsidRDefault="00FB2C6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Mentimeter</w:t>
            </w:r>
            <w:r w:rsidR="000E431A">
              <w:rPr>
                <w:rFonts w:cstheme="minorHAnsi"/>
                <w:sz w:val="20"/>
                <w:szCs w:val="20"/>
              </w:rPr>
              <w:t xml:space="preserve"> to ensure you interact with the session</w:t>
            </w:r>
          </w:p>
          <w:p w14:paraId="2CAA2D7F" w14:textId="4B43424D" w:rsidR="00EC6F79" w:rsidRPr="00765DA3" w:rsidRDefault="00EC6F79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PebblePad</w:t>
            </w:r>
            <w:r w:rsidR="000E431A">
              <w:rPr>
                <w:rFonts w:cstheme="minorHAnsi"/>
                <w:sz w:val="20"/>
                <w:szCs w:val="20"/>
              </w:rPr>
              <w:t xml:space="preserve"> for reflection</w:t>
            </w:r>
            <w:r w:rsidR="00621FA2">
              <w:rPr>
                <w:rFonts w:cstheme="minorHAnsi"/>
                <w:sz w:val="20"/>
                <w:szCs w:val="20"/>
              </w:rPr>
              <w:t>/workbook</w:t>
            </w:r>
          </w:p>
          <w:p w14:paraId="6614CE47" w14:textId="77777777" w:rsidR="005859CE" w:rsidRDefault="00EC6F79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Collaborate</w:t>
            </w:r>
            <w:r w:rsidR="005859CE" w:rsidRPr="00765DA3">
              <w:rPr>
                <w:rFonts w:cstheme="minorHAnsi"/>
                <w:sz w:val="20"/>
                <w:szCs w:val="20"/>
              </w:rPr>
              <w:t>: interactive sessions, small group work, meetings</w:t>
            </w:r>
          </w:p>
          <w:p w14:paraId="763B56E9" w14:textId="77777777" w:rsidR="00FA24C0" w:rsidRDefault="00811943" w:rsidP="00FA24C0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Teams: tutorials</w:t>
            </w:r>
          </w:p>
          <w:p w14:paraId="53DB8621" w14:textId="1312DB3A" w:rsidR="00621FA2" w:rsidRPr="00FA24C0" w:rsidRDefault="00621FA2" w:rsidP="00FA24C0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Turnitin for assignment submission, originality checking and </w:t>
            </w:r>
            <w:r w:rsidR="00325DF1">
              <w:rPr>
                <w:rFonts w:cstheme="minorHAnsi"/>
                <w:sz w:val="20"/>
                <w:szCs w:val="20"/>
              </w:rPr>
              <w:t>feedback. Draft</w:t>
            </w:r>
            <w:r w:rsidR="004B711D">
              <w:rPr>
                <w:rFonts w:cstheme="minorHAnsi"/>
                <w:sz w:val="20"/>
                <w:szCs w:val="20"/>
              </w:rPr>
              <w:t xml:space="preserve"> submission points provide you with an opportunity to </w:t>
            </w:r>
          </w:p>
        </w:tc>
      </w:tr>
      <w:tr w:rsidR="005859CE" w:rsidRPr="00C10BA3" w14:paraId="44090CD1" w14:textId="77777777" w:rsidTr="00D20616">
        <w:tc>
          <w:tcPr>
            <w:tcW w:w="2263" w:type="dxa"/>
          </w:tcPr>
          <w:p w14:paraId="774654BD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can we work together to enhance your experience? </w:t>
            </w:r>
          </w:p>
        </w:tc>
        <w:tc>
          <w:tcPr>
            <w:tcW w:w="995" w:type="dxa"/>
          </w:tcPr>
          <w:p w14:paraId="602DC3FB" w14:textId="77777777" w:rsidR="005859CE" w:rsidRDefault="005859CE" w:rsidP="00D20616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68D5FAC" wp14:editId="489C105E">
                  <wp:extent cx="457200" cy="457200"/>
                  <wp:effectExtent l="0" t="0" r="0" b="0"/>
                  <wp:docPr id="2" name="Picture 2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Mega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6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C44E9F" w14:textId="32B9D94E" w:rsidR="005859CE" w:rsidRPr="00765DA3" w:rsidRDefault="00765DA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Your feedback </w:t>
            </w:r>
            <w:r w:rsidR="007C35C6">
              <w:rPr>
                <w:rFonts w:cstheme="minorHAnsi"/>
                <w:sz w:val="20"/>
                <w:szCs w:val="20"/>
              </w:rPr>
              <w:t xml:space="preserve">is important. Please complete the module evaluation form at the end of the module </w:t>
            </w:r>
            <w:r w:rsidR="005C5208">
              <w:rPr>
                <w:rFonts w:cstheme="minorHAnsi"/>
                <w:sz w:val="20"/>
                <w:szCs w:val="20"/>
              </w:rPr>
              <w:t xml:space="preserve">and if there are any </w:t>
            </w:r>
            <w:r w:rsidR="00914C52">
              <w:rPr>
                <w:rFonts w:cstheme="minorHAnsi"/>
                <w:sz w:val="20"/>
                <w:szCs w:val="20"/>
              </w:rPr>
              <w:t>issues,</w:t>
            </w:r>
            <w:r w:rsidR="005C5208">
              <w:rPr>
                <w:rFonts w:cstheme="minorHAnsi"/>
                <w:sz w:val="20"/>
                <w:szCs w:val="20"/>
              </w:rPr>
              <w:t xml:space="preserve"> please raise these with your tutors so they can be addressed promptly.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 </w:t>
            </w:r>
            <w:r w:rsidR="00850FC0">
              <w:rPr>
                <w:rFonts w:cstheme="minorHAnsi"/>
                <w:sz w:val="20"/>
                <w:szCs w:val="20"/>
              </w:rPr>
              <w:t>There are Student</w:t>
            </w:r>
            <w:r w:rsidR="00656050">
              <w:rPr>
                <w:rFonts w:cstheme="minorHAnsi"/>
                <w:sz w:val="20"/>
                <w:szCs w:val="20"/>
              </w:rPr>
              <w:t>-Staff</w:t>
            </w:r>
            <w:r w:rsidR="00850FC0">
              <w:rPr>
                <w:rFonts w:cstheme="minorHAnsi"/>
                <w:sz w:val="20"/>
                <w:szCs w:val="20"/>
              </w:rPr>
              <w:t xml:space="preserve"> liaison meetings where</w:t>
            </w:r>
            <w:r w:rsidR="00B926F5">
              <w:rPr>
                <w:rFonts w:cstheme="minorHAnsi"/>
                <w:sz w:val="20"/>
                <w:szCs w:val="20"/>
              </w:rPr>
              <w:t xml:space="preserve"> your student representatives for the programme can raise issues on your behalf.</w:t>
            </w:r>
          </w:p>
        </w:tc>
      </w:tr>
    </w:tbl>
    <w:p w14:paraId="0EB54014" w14:textId="591F18AA" w:rsidR="00720006" w:rsidRDefault="00720006" w:rsidP="00AF7EF1">
      <w:pPr>
        <w:rPr>
          <w:rFonts w:cstheme="minorHAnsi"/>
          <w:b/>
          <w:bCs/>
          <w:color w:val="FF0000"/>
        </w:rPr>
      </w:pPr>
    </w:p>
    <w:p w14:paraId="19020980" w14:textId="77777777" w:rsidR="00A71901" w:rsidRPr="00B3383A" w:rsidRDefault="00A71901" w:rsidP="00AF7EF1">
      <w:pPr>
        <w:rPr>
          <w:rFonts w:cstheme="minorHAnsi"/>
          <w:b/>
          <w:bCs/>
          <w:color w:val="FF0000"/>
        </w:rPr>
      </w:pPr>
    </w:p>
    <w:sectPr w:rsidR="00A71901" w:rsidRPr="00B3383A" w:rsidSect="000A767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40C4" w14:textId="77777777" w:rsidR="00F76672" w:rsidRDefault="00F76672" w:rsidP="00E75847">
      <w:pPr>
        <w:spacing w:after="0" w:line="240" w:lineRule="auto"/>
      </w:pPr>
      <w:r>
        <w:separator/>
      </w:r>
    </w:p>
  </w:endnote>
  <w:endnote w:type="continuationSeparator" w:id="0">
    <w:p w14:paraId="0972836F" w14:textId="77777777" w:rsidR="00F76672" w:rsidRDefault="00F76672" w:rsidP="00E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9EE" w14:textId="77777777" w:rsidR="00596123" w:rsidRDefault="0059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FDCD" w14:textId="77777777" w:rsidR="00596123" w:rsidRDefault="0059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FD3B" w14:textId="77777777" w:rsidR="00596123" w:rsidRDefault="0059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B7B8" w14:textId="77777777" w:rsidR="00F76672" w:rsidRDefault="00F76672" w:rsidP="00E75847">
      <w:pPr>
        <w:spacing w:after="0" w:line="240" w:lineRule="auto"/>
      </w:pPr>
      <w:r>
        <w:separator/>
      </w:r>
    </w:p>
  </w:footnote>
  <w:footnote w:type="continuationSeparator" w:id="0">
    <w:p w14:paraId="0C6A9C12" w14:textId="77777777" w:rsidR="00F76672" w:rsidRDefault="00F76672" w:rsidP="00E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325E" w14:textId="77777777" w:rsidR="00596123" w:rsidRDefault="0059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FDF7" w14:textId="7BB8B007" w:rsidR="00E75847" w:rsidRDefault="00E75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9691" w14:textId="77777777" w:rsidR="00596123" w:rsidRDefault="0059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B6"/>
    <w:multiLevelType w:val="hybridMultilevel"/>
    <w:tmpl w:val="3B3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ED"/>
    <w:multiLevelType w:val="hybridMultilevel"/>
    <w:tmpl w:val="24E27478"/>
    <w:lvl w:ilvl="0" w:tplc="BA32B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8E5"/>
    <w:multiLevelType w:val="hybridMultilevel"/>
    <w:tmpl w:val="5E96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4DA"/>
    <w:multiLevelType w:val="hybridMultilevel"/>
    <w:tmpl w:val="FCC47010"/>
    <w:lvl w:ilvl="0" w:tplc="A0961F1C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5A41A13"/>
    <w:multiLevelType w:val="hybridMultilevel"/>
    <w:tmpl w:val="028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68B"/>
    <w:multiLevelType w:val="hybridMultilevel"/>
    <w:tmpl w:val="FE4062D6"/>
    <w:lvl w:ilvl="0" w:tplc="3ABA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D23"/>
    <w:multiLevelType w:val="hybridMultilevel"/>
    <w:tmpl w:val="E2009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43E4A"/>
    <w:multiLevelType w:val="hybridMultilevel"/>
    <w:tmpl w:val="A08E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46E"/>
    <w:multiLevelType w:val="hybridMultilevel"/>
    <w:tmpl w:val="53B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45F6"/>
    <w:multiLevelType w:val="multilevel"/>
    <w:tmpl w:val="4E3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B4624"/>
    <w:multiLevelType w:val="hybridMultilevel"/>
    <w:tmpl w:val="67D48F94"/>
    <w:lvl w:ilvl="0" w:tplc="5048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613C"/>
    <w:multiLevelType w:val="hybridMultilevel"/>
    <w:tmpl w:val="E9061C3A"/>
    <w:lvl w:ilvl="0" w:tplc="77EAD4B0">
      <w:start w:val="1"/>
      <w:numFmt w:val="bullet"/>
      <w:lvlText w:val="-"/>
      <w:lvlJc w:val="left"/>
      <w:pPr>
        <w:ind w:left="8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4DBF4E45"/>
    <w:multiLevelType w:val="hybridMultilevel"/>
    <w:tmpl w:val="EE90AA34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91DF2"/>
    <w:multiLevelType w:val="hybridMultilevel"/>
    <w:tmpl w:val="13E8133C"/>
    <w:lvl w:ilvl="0" w:tplc="3FCE547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65C63B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F5888DC">
      <w:numFmt w:val="bullet"/>
      <w:lvlText w:val="•"/>
      <w:lvlJc w:val="left"/>
      <w:pPr>
        <w:ind w:left="2000" w:hanging="360"/>
      </w:pPr>
      <w:rPr>
        <w:lang w:val="en-GB" w:eastAsia="en-GB" w:bidi="en-GB"/>
      </w:rPr>
    </w:lvl>
    <w:lvl w:ilvl="3" w:tplc="E8D82FEA">
      <w:numFmt w:val="bullet"/>
      <w:lvlText w:val="•"/>
      <w:lvlJc w:val="left"/>
      <w:pPr>
        <w:ind w:left="3128" w:hanging="360"/>
      </w:pPr>
      <w:rPr>
        <w:lang w:val="en-GB" w:eastAsia="en-GB" w:bidi="en-GB"/>
      </w:rPr>
    </w:lvl>
    <w:lvl w:ilvl="4" w:tplc="73EEFD08">
      <w:numFmt w:val="bullet"/>
      <w:lvlText w:val="•"/>
      <w:lvlJc w:val="left"/>
      <w:pPr>
        <w:ind w:left="4256" w:hanging="360"/>
      </w:pPr>
      <w:rPr>
        <w:lang w:val="en-GB" w:eastAsia="en-GB" w:bidi="en-GB"/>
      </w:rPr>
    </w:lvl>
    <w:lvl w:ilvl="5" w:tplc="DA382F04">
      <w:numFmt w:val="bullet"/>
      <w:lvlText w:val="•"/>
      <w:lvlJc w:val="left"/>
      <w:pPr>
        <w:ind w:left="5384" w:hanging="360"/>
      </w:pPr>
      <w:rPr>
        <w:lang w:val="en-GB" w:eastAsia="en-GB" w:bidi="en-GB"/>
      </w:rPr>
    </w:lvl>
    <w:lvl w:ilvl="6" w:tplc="28EEAD60">
      <w:numFmt w:val="bullet"/>
      <w:lvlText w:val="•"/>
      <w:lvlJc w:val="left"/>
      <w:pPr>
        <w:ind w:left="6513" w:hanging="360"/>
      </w:pPr>
      <w:rPr>
        <w:lang w:val="en-GB" w:eastAsia="en-GB" w:bidi="en-GB"/>
      </w:rPr>
    </w:lvl>
    <w:lvl w:ilvl="7" w:tplc="E8CEBCAC">
      <w:numFmt w:val="bullet"/>
      <w:lvlText w:val="•"/>
      <w:lvlJc w:val="left"/>
      <w:pPr>
        <w:ind w:left="7641" w:hanging="360"/>
      </w:pPr>
      <w:rPr>
        <w:lang w:val="en-GB" w:eastAsia="en-GB" w:bidi="en-GB"/>
      </w:rPr>
    </w:lvl>
    <w:lvl w:ilvl="8" w:tplc="9AB4719E">
      <w:numFmt w:val="bullet"/>
      <w:lvlText w:val="•"/>
      <w:lvlJc w:val="left"/>
      <w:pPr>
        <w:ind w:left="8769" w:hanging="360"/>
      </w:pPr>
      <w:rPr>
        <w:lang w:val="en-GB" w:eastAsia="en-GB" w:bidi="en-GB"/>
      </w:rPr>
    </w:lvl>
  </w:abstractNum>
  <w:abstractNum w:abstractNumId="16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1267"/>
    <w:multiLevelType w:val="hybridMultilevel"/>
    <w:tmpl w:val="7E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527E"/>
    <w:multiLevelType w:val="hybridMultilevel"/>
    <w:tmpl w:val="652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45608"/>
    <w:multiLevelType w:val="hybridMultilevel"/>
    <w:tmpl w:val="64E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4194"/>
    <w:multiLevelType w:val="hybridMultilevel"/>
    <w:tmpl w:val="A984C032"/>
    <w:lvl w:ilvl="0" w:tplc="302A0AD4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1" w15:restartNumberingAfterBreak="0">
    <w:nsid w:val="75A6292A"/>
    <w:multiLevelType w:val="hybridMultilevel"/>
    <w:tmpl w:val="5D3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44292">
    <w:abstractNumId w:val="7"/>
  </w:num>
  <w:num w:numId="2" w16cid:durableId="1270695377">
    <w:abstractNumId w:val="21"/>
  </w:num>
  <w:num w:numId="3" w16cid:durableId="2057776571">
    <w:abstractNumId w:val="15"/>
  </w:num>
  <w:num w:numId="4" w16cid:durableId="1759210618">
    <w:abstractNumId w:val="7"/>
  </w:num>
  <w:num w:numId="5" w16cid:durableId="2104957709">
    <w:abstractNumId w:val="0"/>
  </w:num>
  <w:num w:numId="6" w16cid:durableId="1578513441">
    <w:abstractNumId w:val="9"/>
  </w:num>
  <w:num w:numId="7" w16cid:durableId="41637166">
    <w:abstractNumId w:val="18"/>
  </w:num>
  <w:num w:numId="8" w16cid:durableId="127672647">
    <w:abstractNumId w:val="1"/>
  </w:num>
  <w:num w:numId="9" w16cid:durableId="241648754">
    <w:abstractNumId w:val="19"/>
  </w:num>
  <w:num w:numId="10" w16cid:durableId="1985817671">
    <w:abstractNumId w:val="14"/>
  </w:num>
  <w:num w:numId="11" w16cid:durableId="1566574037">
    <w:abstractNumId w:val="6"/>
  </w:num>
  <w:num w:numId="12" w16cid:durableId="601500796">
    <w:abstractNumId w:val="2"/>
  </w:num>
  <w:num w:numId="13" w16cid:durableId="583999514">
    <w:abstractNumId w:val="11"/>
  </w:num>
  <w:num w:numId="14" w16cid:durableId="300549092">
    <w:abstractNumId w:val="17"/>
  </w:num>
  <w:num w:numId="15" w16cid:durableId="329142347">
    <w:abstractNumId w:val="16"/>
  </w:num>
  <w:num w:numId="16" w16cid:durableId="1538199973">
    <w:abstractNumId w:val="4"/>
  </w:num>
  <w:num w:numId="17" w16cid:durableId="1653487153">
    <w:abstractNumId w:val="12"/>
  </w:num>
  <w:num w:numId="18" w16cid:durableId="916673598">
    <w:abstractNumId w:val="13"/>
  </w:num>
  <w:num w:numId="19" w16cid:durableId="318076376">
    <w:abstractNumId w:val="3"/>
  </w:num>
  <w:num w:numId="20" w16cid:durableId="247278971">
    <w:abstractNumId w:val="5"/>
  </w:num>
  <w:num w:numId="21" w16cid:durableId="1742870952">
    <w:abstractNumId w:val="20"/>
  </w:num>
  <w:num w:numId="22" w16cid:durableId="1686326416">
    <w:abstractNumId w:val="10"/>
  </w:num>
  <w:num w:numId="23" w16cid:durableId="334498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C"/>
    <w:rsid w:val="000105F6"/>
    <w:rsid w:val="00012BAB"/>
    <w:rsid w:val="00014000"/>
    <w:rsid w:val="0004213C"/>
    <w:rsid w:val="000425FF"/>
    <w:rsid w:val="000A337B"/>
    <w:rsid w:val="000A7679"/>
    <w:rsid w:val="000C436D"/>
    <w:rsid w:val="000C6829"/>
    <w:rsid w:val="000E431A"/>
    <w:rsid w:val="000E6E51"/>
    <w:rsid w:val="000F187A"/>
    <w:rsid w:val="00100521"/>
    <w:rsid w:val="00104364"/>
    <w:rsid w:val="001075F2"/>
    <w:rsid w:val="00130773"/>
    <w:rsid w:val="00165567"/>
    <w:rsid w:val="0016606D"/>
    <w:rsid w:val="001706EA"/>
    <w:rsid w:val="00182B21"/>
    <w:rsid w:val="00190B26"/>
    <w:rsid w:val="001A0C85"/>
    <w:rsid w:val="001A412F"/>
    <w:rsid w:val="001B4251"/>
    <w:rsid w:val="001C202C"/>
    <w:rsid w:val="001E063F"/>
    <w:rsid w:val="001F082B"/>
    <w:rsid w:val="0022291D"/>
    <w:rsid w:val="002335B1"/>
    <w:rsid w:val="0023786E"/>
    <w:rsid w:val="00242FB9"/>
    <w:rsid w:val="002557AF"/>
    <w:rsid w:val="00260710"/>
    <w:rsid w:val="00264CCD"/>
    <w:rsid w:val="00274756"/>
    <w:rsid w:val="00283B28"/>
    <w:rsid w:val="0028721C"/>
    <w:rsid w:val="0029323B"/>
    <w:rsid w:val="002A09F7"/>
    <w:rsid w:val="002B22DC"/>
    <w:rsid w:val="00300C62"/>
    <w:rsid w:val="0030462B"/>
    <w:rsid w:val="00315AD4"/>
    <w:rsid w:val="00325DF1"/>
    <w:rsid w:val="00333229"/>
    <w:rsid w:val="003440F0"/>
    <w:rsid w:val="00365E55"/>
    <w:rsid w:val="00381FB3"/>
    <w:rsid w:val="00382766"/>
    <w:rsid w:val="00386A4C"/>
    <w:rsid w:val="003979E9"/>
    <w:rsid w:val="003C19A6"/>
    <w:rsid w:val="003D5530"/>
    <w:rsid w:val="003E21BC"/>
    <w:rsid w:val="003F6592"/>
    <w:rsid w:val="004108CE"/>
    <w:rsid w:val="00410CC2"/>
    <w:rsid w:val="00466E31"/>
    <w:rsid w:val="00477943"/>
    <w:rsid w:val="00477D64"/>
    <w:rsid w:val="00495EF9"/>
    <w:rsid w:val="004B711D"/>
    <w:rsid w:val="004C68BF"/>
    <w:rsid w:val="004C6C91"/>
    <w:rsid w:val="004D62CE"/>
    <w:rsid w:val="004F4875"/>
    <w:rsid w:val="00505299"/>
    <w:rsid w:val="00512A21"/>
    <w:rsid w:val="005434B9"/>
    <w:rsid w:val="00547148"/>
    <w:rsid w:val="00572740"/>
    <w:rsid w:val="00575ED7"/>
    <w:rsid w:val="00576EC1"/>
    <w:rsid w:val="00581F17"/>
    <w:rsid w:val="005859CE"/>
    <w:rsid w:val="00596123"/>
    <w:rsid w:val="005A62F9"/>
    <w:rsid w:val="005B1DAD"/>
    <w:rsid w:val="005C50AF"/>
    <w:rsid w:val="005C5208"/>
    <w:rsid w:val="005C5DFA"/>
    <w:rsid w:val="005E50E6"/>
    <w:rsid w:val="005F00C5"/>
    <w:rsid w:val="0060199E"/>
    <w:rsid w:val="0060587D"/>
    <w:rsid w:val="00612D15"/>
    <w:rsid w:val="00621FA2"/>
    <w:rsid w:val="00624BFC"/>
    <w:rsid w:val="00656050"/>
    <w:rsid w:val="00673D35"/>
    <w:rsid w:val="006826C7"/>
    <w:rsid w:val="00691FBF"/>
    <w:rsid w:val="006A3BE3"/>
    <w:rsid w:val="006D18F3"/>
    <w:rsid w:val="006D7A54"/>
    <w:rsid w:val="006E3348"/>
    <w:rsid w:val="006F14C1"/>
    <w:rsid w:val="006F3D6B"/>
    <w:rsid w:val="007004F7"/>
    <w:rsid w:val="00700A94"/>
    <w:rsid w:val="00720006"/>
    <w:rsid w:val="0072214E"/>
    <w:rsid w:val="007347BD"/>
    <w:rsid w:val="0073618C"/>
    <w:rsid w:val="00765DA3"/>
    <w:rsid w:val="0077649C"/>
    <w:rsid w:val="007872CF"/>
    <w:rsid w:val="00792190"/>
    <w:rsid w:val="0079743D"/>
    <w:rsid w:val="007C35C6"/>
    <w:rsid w:val="007D17FC"/>
    <w:rsid w:val="007D5204"/>
    <w:rsid w:val="007E07EB"/>
    <w:rsid w:val="007F049B"/>
    <w:rsid w:val="00805268"/>
    <w:rsid w:val="00811943"/>
    <w:rsid w:val="00831BF3"/>
    <w:rsid w:val="008338A5"/>
    <w:rsid w:val="008449C6"/>
    <w:rsid w:val="00850FC0"/>
    <w:rsid w:val="008532C2"/>
    <w:rsid w:val="008837C9"/>
    <w:rsid w:val="008859B3"/>
    <w:rsid w:val="00891FE8"/>
    <w:rsid w:val="00895B21"/>
    <w:rsid w:val="00896E7B"/>
    <w:rsid w:val="008E0941"/>
    <w:rsid w:val="008E54D3"/>
    <w:rsid w:val="008E6CB8"/>
    <w:rsid w:val="00914C52"/>
    <w:rsid w:val="00921A0E"/>
    <w:rsid w:val="00942A7D"/>
    <w:rsid w:val="00951403"/>
    <w:rsid w:val="009753DF"/>
    <w:rsid w:val="00984A68"/>
    <w:rsid w:val="00990655"/>
    <w:rsid w:val="009B2FD7"/>
    <w:rsid w:val="009C636B"/>
    <w:rsid w:val="009C6D46"/>
    <w:rsid w:val="009C7AB3"/>
    <w:rsid w:val="009E567D"/>
    <w:rsid w:val="00A01738"/>
    <w:rsid w:val="00A107EC"/>
    <w:rsid w:val="00A12B64"/>
    <w:rsid w:val="00A177E4"/>
    <w:rsid w:val="00A24D76"/>
    <w:rsid w:val="00A33E2F"/>
    <w:rsid w:val="00A61318"/>
    <w:rsid w:val="00A71901"/>
    <w:rsid w:val="00A7295B"/>
    <w:rsid w:val="00A7437D"/>
    <w:rsid w:val="00A74BB2"/>
    <w:rsid w:val="00A842DF"/>
    <w:rsid w:val="00A863B5"/>
    <w:rsid w:val="00A866A3"/>
    <w:rsid w:val="00AA33F9"/>
    <w:rsid w:val="00AA635A"/>
    <w:rsid w:val="00AB593C"/>
    <w:rsid w:val="00AC2EC2"/>
    <w:rsid w:val="00AF0FAF"/>
    <w:rsid w:val="00AF7EF1"/>
    <w:rsid w:val="00B1640A"/>
    <w:rsid w:val="00B21138"/>
    <w:rsid w:val="00B24EAE"/>
    <w:rsid w:val="00B30492"/>
    <w:rsid w:val="00B30C30"/>
    <w:rsid w:val="00B30C78"/>
    <w:rsid w:val="00B3383A"/>
    <w:rsid w:val="00B4339A"/>
    <w:rsid w:val="00B4392C"/>
    <w:rsid w:val="00B530AD"/>
    <w:rsid w:val="00B54EBA"/>
    <w:rsid w:val="00B62987"/>
    <w:rsid w:val="00B66A6D"/>
    <w:rsid w:val="00B8008C"/>
    <w:rsid w:val="00B8713C"/>
    <w:rsid w:val="00B87A5A"/>
    <w:rsid w:val="00B926F5"/>
    <w:rsid w:val="00B96F56"/>
    <w:rsid w:val="00BC1C9B"/>
    <w:rsid w:val="00BE1561"/>
    <w:rsid w:val="00BE3DE5"/>
    <w:rsid w:val="00C068C2"/>
    <w:rsid w:val="00C10BA3"/>
    <w:rsid w:val="00C4290E"/>
    <w:rsid w:val="00C5620F"/>
    <w:rsid w:val="00C71D3B"/>
    <w:rsid w:val="00C87CEE"/>
    <w:rsid w:val="00C92057"/>
    <w:rsid w:val="00C96A0E"/>
    <w:rsid w:val="00CA53CA"/>
    <w:rsid w:val="00CD26CD"/>
    <w:rsid w:val="00CE6199"/>
    <w:rsid w:val="00CE6D20"/>
    <w:rsid w:val="00D351C4"/>
    <w:rsid w:val="00D3621F"/>
    <w:rsid w:val="00D4099C"/>
    <w:rsid w:val="00D50719"/>
    <w:rsid w:val="00D5749C"/>
    <w:rsid w:val="00DA4A6F"/>
    <w:rsid w:val="00DD59F1"/>
    <w:rsid w:val="00DD6D29"/>
    <w:rsid w:val="00E0511A"/>
    <w:rsid w:val="00E05F32"/>
    <w:rsid w:val="00E1517F"/>
    <w:rsid w:val="00E25585"/>
    <w:rsid w:val="00E318CC"/>
    <w:rsid w:val="00E34437"/>
    <w:rsid w:val="00E3778C"/>
    <w:rsid w:val="00E52AA2"/>
    <w:rsid w:val="00E57753"/>
    <w:rsid w:val="00E65626"/>
    <w:rsid w:val="00E75847"/>
    <w:rsid w:val="00EA72AE"/>
    <w:rsid w:val="00EC6F79"/>
    <w:rsid w:val="00EF0150"/>
    <w:rsid w:val="00F13D4A"/>
    <w:rsid w:val="00F15D5C"/>
    <w:rsid w:val="00F22631"/>
    <w:rsid w:val="00F420A8"/>
    <w:rsid w:val="00F65E88"/>
    <w:rsid w:val="00F71DDB"/>
    <w:rsid w:val="00F76672"/>
    <w:rsid w:val="00F85236"/>
    <w:rsid w:val="00F871A5"/>
    <w:rsid w:val="00F9687B"/>
    <w:rsid w:val="00FA24C0"/>
    <w:rsid w:val="00FB249C"/>
    <w:rsid w:val="00FB2C63"/>
    <w:rsid w:val="00FB31A4"/>
    <w:rsid w:val="00FB5AE8"/>
    <w:rsid w:val="00FC6E9E"/>
    <w:rsid w:val="00FE4213"/>
    <w:rsid w:val="00FF3B1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2D291"/>
  <w15:chartTrackingRefBased/>
  <w15:docId w15:val="{F7A8E5BE-ADB4-4D12-9F89-1FCBE25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640A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7D64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7D64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8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47"/>
  </w:style>
  <w:style w:type="paragraph" w:styleId="Footer">
    <w:name w:val="footer"/>
    <w:basedOn w:val="Normal"/>
    <w:link w:val="FooterChar"/>
    <w:uiPriority w:val="99"/>
    <w:unhideWhenUsed/>
    <w:rsid w:val="00E7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47"/>
  </w:style>
  <w:style w:type="character" w:styleId="FollowedHyperlink">
    <w:name w:val="FollowedHyperlink"/>
    <w:basedOn w:val="DefaultParagraphFont"/>
    <w:uiPriority w:val="99"/>
    <w:semiHidden/>
    <w:unhideWhenUsed/>
    <w:rsid w:val="0089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yperlink" Target="https://www.canterbury.ac.uk/our-students/i-zone/chat-with-the-i-zone-and-it-hub" TargetMode="External"/><Relationship Id="rId39" Type="http://schemas.openxmlformats.org/officeDocument/2006/relationships/footer" Target="footer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5.sv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uk/learning-and-teaching-enhancement/Blended-Learning/Blended-Learning.aspx" TargetMode="External"/><Relationship Id="rId24" Type="http://schemas.openxmlformats.org/officeDocument/2006/relationships/image" Target="media/image13.svg"/><Relationship Id="rId32" Type="http://schemas.openxmlformats.org/officeDocument/2006/relationships/image" Target="media/image18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hyperlink" Target="https://www.canterbury.ac.uk/guides/learning-platform-suite/learning-platform-suite/mentimeter" TargetMode="External"/><Relationship Id="rId30" Type="http://schemas.openxmlformats.org/officeDocument/2006/relationships/image" Target="media/image16.pn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canterbury.ac.uk/learning-skills-hub" TargetMode="External"/><Relationship Id="rId33" Type="http://schemas.openxmlformats.org/officeDocument/2006/relationships/image" Target="cid:image002.png@01D659E8.D1CD8480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84553BB1DAF42A191A795DC61473C" ma:contentTypeVersion="15" ma:contentTypeDescription="Create a new document." ma:contentTypeScope="" ma:versionID="ccbd30894e4669df436b38e48c441a7b">
  <xsd:schema xmlns:xsd="http://www.w3.org/2001/XMLSchema" xmlns:xs="http://www.w3.org/2001/XMLSchema" xmlns:p="http://schemas.microsoft.com/office/2006/metadata/properties" xmlns:ns2="d272b0ff-24f0-42d0-8a81-230bdb77ba64" xmlns:ns3="e832cf17-5720-4746-980a-2c88b1e3f66c" targetNamespace="http://schemas.microsoft.com/office/2006/metadata/properties" ma:root="true" ma:fieldsID="7ed80e818d97385f27777d765776e03b" ns2:_="" ns3:_="">
    <xsd:import namespace="d272b0ff-24f0-42d0-8a81-230bdb77ba64"/>
    <xsd:import namespace="e832cf17-5720-4746-980a-2c88b1e3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b0ff-24f0-42d0-8a81-230bdb77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2cf17-5720-4746-980a-2c88b1e3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7ba672-7261-4062-9887-6aeb9988d4e8}" ma:internalName="TaxCatchAll" ma:showField="CatchAllData" ma:web="e832cf17-5720-4746-980a-2c88b1e3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32cf17-5720-4746-980a-2c88b1e3f66c" xsi:nil="true"/>
  </documentManagement>
</p:properties>
</file>

<file path=customXml/itemProps1.xml><?xml version="1.0" encoding="utf-8"?>
<ds:datastoreItem xmlns:ds="http://schemas.openxmlformats.org/officeDocument/2006/customXml" ds:itemID="{23471261-6D77-4C6D-9E9E-459C8F66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62167-FE43-4DB4-BFF4-F304B0BE2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14332-E6C1-4A9D-BB23-8B0D1A704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2b0ff-24f0-42d0-8a81-230bdb77ba64"/>
    <ds:schemaRef ds:uri="e832cf17-5720-4746-980a-2c88b1e3f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2116A-66AB-423C-AFCC-CB1E4EF83A04}">
  <ds:schemaRefs>
    <ds:schemaRef ds:uri="http://schemas.microsoft.com/office/2006/metadata/properties"/>
    <ds:schemaRef ds:uri="http://schemas.microsoft.com/office/infopath/2007/PartnerControls"/>
    <ds:schemaRef ds:uri="e832cf17-5720-4746-980a-2c88b1e3f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McCullagh</dc:creator>
  <cp:keywords/>
  <dc:description/>
  <cp:lastModifiedBy>Daniel Clark</cp:lastModifiedBy>
  <cp:revision>6</cp:revision>
  <dcterms:created xsi:type="dcterms:W3CDTF">2022-10-10T05:56:00Z</dcterms:created>
  <dcterms:modified xsi:type="dcterms:W3CDTF">2022-11-07T15:57:00Z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0x01010076784553BB1DAF42A191A795DC61473C</vt:lpwstr>
  </property>
</Properties>
</file>