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CE1FE" w14:textId="77777777" w:rsidR="00235CC6" w:rsidRPr="005F1564" w:rsidRDefault="006D4A85" w:rsidP="00D437C8">
      <w:pPr>
        <w:spacing w:after="0" w:line="240" w:lineRule="auto"/>
        <w:jc w:val="both"/>
        <w:rPr>
          <w:b/>
        </w:rPr>
      </w:pPr>
      <w:r w:rsidRPr="005F1564">
        <w:rPr>
          <w:b/>
        </w:rPr>
        <w:t>Enhancing Employability</w:t>
      </w:r>
      <w:r w:rsidR="008903FB">
        <w:rPr>
          <w:b/>
        </w:rPr>
        <w:t xml:space="preserve"> – An Overview</w:t>
      </w:r>
    </w:p>
    <w:p w14:paraId="3636ABE9" w14:textId="77777777" w:rsidR="006D4A85" w:rsidRDefault="006D4A85" w:rsidP="00D437C8">
      <w:pPr>
        <w:spacing w:after="0" w:line="240" w:lineRule="auto"/>
        <w:jc w:val="both"/>
      </w:pPr>
    </w:p>
    <w:p w14:paraId="6A6DCCEE" w14:textId="77777777" w:rsidR="008903FB" w:rsidRDefault="008903FB" w:rsidP="00A338CE">
      <w:pPr>
        <w:spacing w:after="0" w:line="240" w:lineRule="auto"/>
        <w:jc w:val="both"/>
        <w:rPr>
          <w:b/>
        </w:rPr>
      </w:pPr>
      <w:r>
        <w:rPr>
          <w:b/>
        </w:rPr>
        <w:t>1.0</w:t>
      </w:r>
      <w:r>
        <w:rPr>
          <w:b/>
        </w:rPr>
        <w:tab/>
        <w:t>Why Employability?</w:t>
      </w:r>
    </w:p>
    <w:p w14:paraId="115BA4A6" w14:textId="77777777" w:rsidR="004B740C" w:rsidRDefault="006D4A85" w:rsidP="00A338CE">
      <w:pPr>
        <w:spacing w:after="0" w:line="240" w:lineRule="auto"/>
        <w:jc w:val="both"/>
      </w:pPr>
      <w:r>
        <w:t xml:space="preserve">Enhancing employability is a University priority. </w:t>
      </w:r>
      <w:r w:rsidR="00A338CE">
        <w:t xml:space="preserve">There is a growing expectation that the HE student experience includes developing an awareness of how knowledge and skills acquired </w:t>
      </w:r>
      <w:r w:rsidR="004B740C">
        <w:t xml:space="preserve">support the individuals’ ability to be successful in their chosen career and adapt effectively to change. </w:t>
      </w:r>
    </w:p>
    <w:p w14:paraId="03C83426" w14:textId="77777777" w:rsidR="004B740C" w:rsidRDefault="004B740C" w:rsidP="00A338CE">
      <w:pPr>
        <w:spacing w:after="0" w:line="240" w:lineRule="auto"/>
        <w:jc w:val="both"/>
      </w:pPr>
    </w:p>
    <w:p w14:paraId="32853FFE" w14:textId="77777777" w:rsidR="004B740C" w:rsidRDefault="00CD0982" w:rsidP="00A338CE">
      <w:pPr>
        <w:spacing w:after="0" w:line="240" w:lineRule="auto"/>
        <w:jc w:val="both"/>
      </w:pPr>
      <w:r>
        <w:t xml:space="preserve">In light of the </w:t>
      </w:r>
      <w:r w:rsidRPr="009044F0">
        <w:t>Teaching Ex</w:t>
      </w:r>
      <w:r>
        <w:t>cellence Framework (TEF), g</w:t>
      </w:r>
      <w:r w:rsidR="004B740C">
        <w:t xml:space="preserve">raduate employability </w:t>
      </w:r>
      <w:r w:rsidR="00A338CE">
        <w:t xml:space="preserve">is </w:t>
      </w:r>
      <w:r w:rsidR="00A338CE" w:rsidRPr="009044F0">
        <w:t xml:space="preserve">now of </w:t>
      </w:r>
      <w:r w:rsidR="00A338CE">
        <w:t xml:space="preserve">even </w:t>
      </w:r>
      <w:r w:rsidR="00A338CE" w:rsidRPr="009044F0">
        <w:t>more si</w:t>
      </w:r>
      <w:r w:rsidR="00A338CE">
        <w:t xml:space="preserve">gnificance </w:t>
      </w:r>
      <w:r>
        <w:t>as</w:t>
      </w:r>
      <w:r w:rsidR="00A338CE">
        <w:t xml:space="preserve"> employment</w:t>
      </w:r>
      <w:r w:rsidR="00A338CE" w:rsidRPr="009044F0">
        <w:t xml:space="preserve"> data </w:t>
      </w:r>
      <w:r w:rsidR="004B740C">
        <w:t>will</w:t>
      </w:r>
      <w:r>
        <w:t xml:space="preserve"> be used to</w:t>
      </w:r>
      <w:r w:rsidR="004B740C">
        <w:t xml:space="preserve"> influence (rightly or wrongly)</w:t>
      </w:r>
      <w:r w:rsidR="004B740C" w:rsidRPr="009044F0">
        <w:t xml:space="preserve"> judgements about programme performance</w:t>
      </w:r>
      <w:r w:rsidR="004B740C">
        <w:t>.</w:t>
      </w:r>
    </w:p>
    <w:p w14:paraId="3CF4B0DD" w14:textId="77777777" w:rsidR="004B740C" w:rsidRDefault="004B740C" w:rsidP="00A338CE">
      <w:pPr>
        <w:spacing w:after="0" w:line="240" w:lineRule="auto"/>
        <w:jc w:val="both"/>
      </w:pPr>
    </w:p>
    <w:p w14:paraId="1231F3F7" w14:textId="77777777" w:rsidR="008903FB" w:rsidRDefault="008903FB" w:rsidP="00D437C8">
      <w:pPr>
        <w:spacing w:after="0" w:line="240" w:lineRule="auto"/>
        <w:jc w:val="both"/>
        <w:rPr>
          <w:b/>
        </w:rPr>
      </w:pPr>
      <w:r>
        <w:rPr>
          <w:b/>
        </w:rPr>
        <w:t>2.0</w:t>
      </w:r>
      <w:r>
        <w:rPr>
          <w:b/>
        </w:rPr>
        <w:tab/>
        <w:t>What is Employability?</w:t>
      </w:r>
    </w:p>
    <w:p w14:paraId="216910DE" w14:textId="77777777" w:rsidR="00912EE7" w:rsidRPr="00912EE7" w:rsidRDefault="00912EE7" w:rsidP="00912EE7">
      <w:pPr>
        <w:autoSpaceDE w:val="0"/>
        <w:autoSpaceDN w:val="0"/>
        <w:adjustRightInd w:val="0"/>
        <w:spacing w:after="0" w:line="240" w:lineRule="auto"/>
        <w:jc w:val="both"/>
      </w:pPr>
      <w:r w:rsidRPr="00912EE7">
        <w:t>“The things employers generally value in new graduates are things that most teachers in higher education generally value”</w:t>
      </w:r>
      <w:r>
        <w:t xml:space="preserve"> Harvey &amp; K</w:t>
      </w:r>
      <w:r w:rsidRPr="00912EE7">
        <w:t>night (2003)</w:t>
      </w:r>
    </w:p>
    <w:p w14:paraId="56B8C8B9" w14:textId="77777777" w:rsidR="00912EE7" w:rsidRDefault="00912EE7" w:rsidP="008903FB">
      <w:pPr>
        <w:autoSpaceDE w:val="0"/>
        <w:autoSpaceDN w:val="0"/>
        <w:adjustRightInd w:val="0"/>
        <w:spacing w:after="0" w:line="240" w:lineRule="auto"/>
        <w:jc w:val="both"/>
      </w:pPr>
    </w:p>
    <w:p w14:paraId="09F94444" w14:textId="77777777" w:rsidR="008903FB" w:rsidRDefault="008903FB" w:rsidP="008903FB">
      <w:pPr>
        <w:autoSpaceDE w:val="0"/>
        <w:autoSpaceDN w:val="0"/>
        <w:adjustRightInd w:val="0"/>
        <w:spacing w:after="0" w:line="240" w:lineRule="auto"/>
        <w:jc w:val="both"/>
      </w:pPr>
      <w:r>
        <w:t xml:space="preserve">Employability and good learning are closely aligned and not contradictory constructs. An employable student and a good learner both </w:t>
      </w:r>
      <w:r w:rsidRPr="008903FB">
        <w:t>demonstrat</w:t>
      </w:r>
      <w:r>
        <w:t>e</w:t>
      </w:r>
      <w:r w:rsidRPr="008903FB">
        <w:t xml:space="preserve"> a breadth of skills</w:t>
      </w:r>
      <w:r>
        <w:t>, knowledge and understanding</w:t>
      </w:r>
      <w:r w:rsidRPr="008903FB">
        <w:t xml:space="preserve">, self-belief to explore independently, the ability to manage their time and the resilience to learn from feedback. </w:t>
      </w:r>
    </w:p>
    <w:p w14:paraId="3ABC9D20" w14:textId="77777777" w:rsidR="008903FB" w:rsidRPr="008903FB" w:rsidRDefault="008903FB" w:rsidP="00D437C8">
      <w:pPr>
        <w:spacing w:after="0" w:line="240" w:lineRule="auto"/>
        <w:jc w:val="both"/>
        <w:rPr>
          <w:b/>
        </w:rPr>
      </w:pPr>
    </w:p>
    <w:p w14:paraId="70E4A5D8" w14:textId="77777777" w:rsidR="006D4A85" w:rsidRDefault="004B740C" w:rsidP="00D437C8">
      <w:pPr>
        <w:spacing w:after="0" w:line="240" w:lineRule="auto"/>
        <w:jc w:val="both"/>
      </w:pPr>
      <w:r>
        <w:t>E</w:t>
      </w:r>
      <w:r w:rsidR="006D4A85">
        <w:t xml:space="preserve">nhancing employability is about adding value to the curriculum by making explicit what we do already and helping students recognise the employability skills and attributes they are developing as part of their study. </w:t>
      </w:r>
    </w:p>
    <w:p w14:paraId="0EBB4BC7" w14:textId="77777777" w:rsidR="009044F0" w:rsidRDefault="009044F0" w:rsidP="009044F0">
      <w:pPr>
        <w:spacing w:after="0" w:line="240" w:lineRule="auto"/>
        <w:jc w:val="both"/>
      </w:pPr>
    </w:p>
    <w:p w14:paraId="4256D1F5" w14:textId="77777777" w:rsidR="006D4A85" w:rsidRDefault="006D4A85" w:rsidP="00D437C8">
      <w:pPr>
        <w:spacing w:after="0" w:line="240" w:lineRule="auto"/>
        <w:jc w:val="both"/>
        <w:rPr>
          <w:i/>
        </w:rPr>
      </w:pPr>
      <w:r>
        <w:t>Employability is not simply about finding a job</w:t>
      </w:r>
      <w:r w:rsidR="009643F9">
        <w:t>, setting up a business or freelancing</w:t>
      </w:r>
      <w:r>
        <w:t xml:space="preserve">. It is about making connections between study, personal development and other activities that influence the individuals’ ability to find, gain and be successful in their chosen employment: </w:t>
      </w:r>
      <w:r w:rsidRPr="006D4A85">
        <w:rPr>
          <w:i/>
        </w:rPr>
        <w:t>[employability is</w:t>
      </w:r>
      <w:r w:rsidRPr="005F1564">
        <w:t xml:space="preserve">] </w:t>
      </w:r>
      <w:r w:rsidRPr="005F1564">
        <w:rPr>
          <w:i/>
        </w:rPr>
        <w:t xml:space="preserve">“A set of achievements - </w:t>
      </w:r>
      <w:r w:rsidRPr="005F1564">
        <w:rPr>
          <w:b/>
          <w:i/>
        </w:rPr>
        <w:t>skills, understandings and personal attributes</w:t>
      </w:r>
      <w:r w:rsidRPr="005F1564">
        <w:rPr>
          <w:i/>
        </w:rPr>
        <w:t xml:space="preserve"> - that make individuals more likely to gain employment and be successful in their chosen occupations, which benefits themselves, the workforce, the community and the economy.”</w:t>
      </w:r>
      <w:r w:rsidR="005F1564" w:rsidRPr="005F1564">
        <w:rPr>
          <w:i/>
        </w:rPr>
        <w:t xml:space="preserve"> (Knight and </w:t>
      </w:r>
      <w:proofErr w:type="spellStart"/>
      <w:r w:rsidR="005F1564" w:rsidRPr="005F1564">
        <w:rPr>
          <w:i/>
        </w:rPr>
        <w:t>Yorke</w:t>
      </w:r>
      <w:proofErr w:type="spellEnd"/>
      <w:r w:rsidR="005F1564">
        <w:rPr>
          <w:i/>
        </w:rPr>
        <w:t xml:space="preserve">, </w:t>
      </w:r>
      <w:r w:rsidR="005F1564" w:rsidRPr="005F1564">
        <w:rPr>
          <w:i/>
        </w:rPr>
        <w:t>2003)</w:t>
      </w:r>
      <w:r w:rsidR="005F1564">
        <w:rPr>
          <w:i/>
        </w:rPr>
        <w:t>.</w:t>
      </w:r>
    </w:p>
    <w:p w14:paraId="17C1747B" w14:textId="77777777" w:rsidR="005F1564" w:rsidRDefault="005F1564" w:rsidP="00D437C8">
      <w:pPr>
        <w:spacing w:after="0" w:line="240" w:lineRule="auto"/>
        <w:jc w:val="both"/>
        <w:rPr>
          <w:i/>
        </w:rPr>
      </w:pPr>
    </w:p>
    <w:p w14:paraId="739E494E" w14:textId="77777777" w:rsidR="00D437C8" w:rsidRDefault="00D437C8" w:rsidP="00D437C8">
      <w:pPr>
        <w:spacing w:after="0" w:line="240" w:lineRule="auto"/>
        <w:jc w:val="both"/>
      </w:pPr>
      <w:r>
        <w:t xml:space="preserve">In their </w:t>
      </w:r>
      <w:proofErr w:type="spellStart"/>
      <w:r>
        <w:t>CareerEDGE</w:t>
      </w:r>
      <w:proofErr w:type="spellEnd"/>
      <w:r>
        <w:t xml:space="preserve"> model, </w:t>
      </w:r>
      <w:proofErr w:type="spellStart"/>
      <w:r w:rsidR="005F1564">
        <w:t>Dacre</w:t>
      </w:r>
      <w:proofErr w:type="spellEnd"/>
      <w:r>
        <w:t>,</w:t>
      </w:r>
      <w:r w:rsidR="005F1564">
        <w:t xml:space="preserve"> Pool &amp; Sewell (2007) suggest</w:t>
      </w:r>
      <w:r>
        <w:t xml:space="preserve"> that graduate employability incorporates five key elements:</w:t>
      </w:r>
    </w:p>
    <w:p w14:paraId="1A6F1F23" w14:textId="77777777" w:rsidR="00D437C8" w:rsidRPr="00D437C8" w:rsidRDefault="00D437C8" w:rsidP="00D437C8">
      <w:pPr>
        <w:pStyle w:val="ListParagraph"/>
        <w:numPr>
          <w:ilvl w:val="0"/>
          <w:numId w:val="3"/>
        </w:numPr>
        <w:spacing w:after="0" w:line="240" w:lineRule="auto"/>
        <w:jc w:val="both"/>
      </w:pPr>
      <w:r w:rsidRPr="00096EBE">
        <w:rPr>
          <w:b/>
          <w:i/>
        </w:rPr>
        <w:t>Career development learning</w:t>
      </w:r>
      <w:r w:rsidRPr="00D437C8">
        <w:t xml:space="preserve"> — </w:t>
      </w:r>
      <w:r w:rsidR="00E57A15">
        <w:t>Decide – Opportunities – Transition – Self-</w:t>
      </w:r>
      <w:r w:rsidR="00CD0982">
        <w:t>Awareness (DOTS M</w:t>
      </w:r>
      <w:r w:rsidR="00E57A15">
        <w:t>odel, Law and Watts, 1996)</w:t>
      </w:r>
    </w:p>
    <w:p w14:paraId="340A4779" w14:textId="77777777" w:rsidR="00D437C8" w:rsidRPr="00D437C8" w:rsidRDefault="00D437C8" w:rsidP="00D437C8">
      <w:pPr>
        <w:pStyle w:val="ListParagraph"/>
        <w:numPr>
          <w:ilvl w:val="0"/>
          <w:numId w:val="3"/>
        </w:numPr>
        <w:spacing w:after="0" w:line="240" w:lineRule="auto"/>
        <w:jc w:val="both"/>
      </w:pPr>
      <w:r w:rsidRPr="00096EBE">
        <w:rPr>
          <w:b/>
          <w:i/>
        </w:rPr>
        <w:t>Experience</w:t>
      </w:r>
      <w:r w:rsidRPr="00D437C8">
        <w:t> </w:t>
      </w:r>
      <w:r>
        <w:t>— r</w:t>
      </w:r>
      <w:r w:rsidRPr="00D437C8">
        <w:t>eflecting the fact that having some form of work or life experience is likely to help a graduate develop a wider range of skills</w:t>
      </w:r>
      <w:r w:rsidR="00CD0982">
        <w:t>, positively impact on degree performance</w:t>
      </w:r>
      <w:r w:rsidR="00CD0982">
        <w:rPr>
          <w:rStyle w:val="FootnoteReference"/>
          <w:b/>
          <w:i/>
        </w:rPr>
        <w:footnoteReference w:id="1"/>
      </w:r>
      <w:r w:rsidRPr="00D437C8">
        <w:t xml:space="preserve"> and make them more attractive to prospective employers</w:t>
      </w:r>
      <w:r w:rsidR="00CD0982">
        <w:rPr>
          <w:rStyle w:val="FootnoteReference"/>
        </w:rPr>
        <w:footnoteReference w:id="2"/>
      </w:r>
      <w:r w:rsidRPr="00D437C8">
        <w:t>.</w:t>
      </w:r>
    </w:p>
    <w:p w14:paraId="0964CAEC" w14:textId="77777777" w:rsidR="00D437C8" w:rsidRDefault="00D437C8" w:rsidP="00E340A1">
      <w:pPr>
        <w:pStyle w:val="ListParagraph"/>
        <w:numPr>
          <w:ilvl w:val="0"/>
          <w:numId w:val="3"/>
        </w:numPr>
        <w:spacing w:after="0" w:line="240" w:lineRule="auto"/>
        <w:jc w:val="both"/>
      </w:pPr>
      <w:r w:rsidRPr="00D437C8">
        <w:t xml:space="preserve">Degree subject </w:t>
      </w:r>
      <w:r w:rsidRPr="00096EBE">
        <w:rPr>
          <w:b/>
          <w:i/>
        </w:rPr>
        <w:t>knowledge, understanding and skills</w:t>
      </w:r>
      <w:r w:rsidRPr="00D437C8">
        <w:t> </w:t>
      </w:r>
    </w:p>
    <w:p w14:paraId="7AC96AAA" w14:textId="77777777" w:rsidR="00D437C8" w:rsidRPr="00096EBE" w:rsidRDefault="00D437C8" w:rsidP="00E340A1">
      <w:pPr>
        <w:pStyle w:val="ListParagraph"/>
        <w:numPr>
          <w:ilvl w:val="0"/>
          <w:numId w:val="3"/>
        </w:numPr>
        <w:spacing w:after="0" w:line="240" w:lineRule="auto"/>
        <w:jc w:val="both"/>
        <w:rPr>
          <w:b/>
          <w:i/>
        </w:rPr>
      </w:pPr>
      <w:r w:rsidRPr="00096EBE">
        <w:rPr>
          <w:b/>
          <w:i/>
        </w:rPr>
        <w:t>Generic skills </w:t>
      </w:r>
    </w:p>
    <w:p w14:paraId="1C0DFF09" w14:textId="77777777" w:rsidR="00D437C8" w:rsidRPr="00D437C8" w:rsidRDefault="00D437C8" w:rsidP="00D437C8">
      <w:pPr>
        <w:pStyle w:val="ListParagraph"/>
        <w:numPr>
          <w:ilvl w:val="0"/>
          <w:numId w:val="3"/>
        </w:numPr>
        <w:spacing w:after="0" w:line="240" w:lineRule="auto"/>
        <w:jc w:val="both"/>
      </w:pPr>
      <w:r w:rsidRPr="00096EBE">
        <w:rPr>
          <w:b/>
          <w:i/>
        </w:rPr>
        <w:t>Emotional intelligence </w:t>
      </w:r>
      <w:r w:rsidRPr="00D437C8">
        <w:t>— “the capacity for recognising our own feelings and those of others, for motivating ourselves, and for managing emotions well in ourselves and in our relationships” (Goleman, 1998)</w:t>
      </w:r>
    </w:p>
    <w:p w14:paraId="5FFDB8BC" w14:textId="77777777" w:rsidR="00D437C8" w:rsidRDefault="004C55DB" w:rsidP="004C55DB">
      <w:pPr>
        <w:spacing w:after="0" w:line="240" w:lineRule="auto"/>
        <w:jc w:val="center"/>
      </w:pPr>
      <w:r w:rsidRPr="005F1564">
        <w:rPr>
          <w:noProof/>
          <w:lang w:eastAsia="en-GB"/>
        </w:rPr>
        <w:lastRenderedPageBreak/>
        <w:drawing>
          <wp:inline distT="0" distB="0" distL="0" distR="0" wp14:anchorId="69169E4C" wp14:editId="23C3A6AC">
            <wp:extent cx="5005290" cy="2467155"/>
            <wp:effectExtent l="0" t="0" r="5080" b="9525"/>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6899" cy="2487664"/>
                    </a:xfrm>
                    <a:prstGeom prst="rect">
                      <a:avLst/>
                    </a:prstGeom>
                    <a:noFill/>
                    <a:ln>
                      <a:noFill/>
                    </a:ln>
                    <a:effectLst/>
                    <a:extLst/>
                  </pic:spPr>
                </pic:pic>
              </a:graphicData>
            </a:graphic>
          </wp:inline>
        </w:drawing>
      </w:r>
    </w:p>
    <w:p w14:paraId="23A4F48B" w14:textId="77777777" w:rsidR="008903FB" w:rsidRDefault="008903FB" w:rsidP="00D437C8">
      <w:pPr>
        <w:spacing w:after="0" w:line="240" w:lineRule="auto"/>
        <w:jc w:val="both"/>
        <w:rPr>
          <w:b/>
        </w:rPr>
      </w:pPr>
    </w:p>
    <w:p w14:paraId="0A462FB9" w14:textId="77777777" w:rsidR="008903FB" w:rsidRDefault="008903FB" w:rsidP="00D437C8">
      <w:pPr>
        <w:spacing w:after="0" w:line="240" w:lineRule="auto"/>
        <w:jc w:val="both"/>
        <w:rPr>
          <w:b/>
        </w:rPr>
      </w:pPr>
    </w:p>
    <w:p w14:paraId="41A17AAA" w14:textId="77777777" w:rsidR="0032405F" w:rsidRPr="004B740C" w:rsidRDefault="0032405F" w:rsidP="00D437C8">
      <w:pPr>
        <w:spacing w:after="0" w:line="240" w:lineRule="auto"/>
        <w:jc w:val="both"/>
        <w:rPr>
          <w:b/>
        </w:rPr>
      </w:pPr>
      <w:r w:rsidRPr="004B740C">
        <w:rPr>
          <w:b/>
        </w:rPr>
        <w:t>Employability – what it is</w:t>
      </w:r>
      <w:r w:rsidRPr="004B740C">
        <w:rPr>
          <w:rStyle w:val="FootnoteReference"/>
          <w:b/>
        </w:rPr>
        <w:footnoteReference w:id="3"/>
      </w:r>
    </w:p>
    <w:p w14:paraId="6AEB96E9" w14:textId="77777777" w:rsidR="0032405F" w:rsidRDefault="0032405F" w:rsidP="004B740C">
      <w:pPr>
        <w:pStyle w:val="ListParagraph"/>
        <w:numPr>
          <w:ilvl w:val="0"/>
          <w:numId w:val="4"/>
        </w:numPr>
        <w:spacing w:after="0" w:line="240" w:lineRule="auto"/>
        <w:jc w:val="both"/>
      </w:pPr>
      <w:r>
        <w:t>It is a lifelong process</w:t>
      </w:r>
    </w:p>
    <w:p w14:paraId="6B094999" w14:textId="77777777" w:rsidR="0032405F" w:rsidRDefault="0032405F" w:rsidP="004B740C">
      <w:pPr>
        <w:pStyle w:val="ListParagraph"/>
        <w:numPr>
          <w:ilvl w:val="0"/>
          <w:numId w:val="4"/>
        </w:numPr>
        <w:spacing w:after="0" w:line="240" w:lineRule="auto"/>
        <w:jc w:val="both"/>
      </w:pPr>
      <w:r>
        <w:t>It applies to all students whatever their sit</w:t>
      </w:r>
      <w:r w:rsidR="004B740C">
        <w:t>uation, course or mode of study</w:t>
      </w:r>
    </w:p>
    <w:p w14:paraId="5E597495" w14:textId="77777777" w:rsidR="0032405F" w:rsidRDefault="0032405F" w:rsidP="004B740C">
      <w:pPr>
        <w:pStyle w:val="ListParagraph"/>
        <w:numPr>
          <w:ilvl w:val="0"/>
          <w:numId w:val="4"/>
        </w:numPr>
        <w:spacing w:after="0" w:line="240" w:lineRule="auto"/>
        <w:jc w:val="both"/>
      </w:pPr>
      <w:r>
        <w:t>It is complex and involves a nu</w:t>
      </w:r>
      <w:r w:rsidR="004B740C">
        <w:t>mber of areas that interlink</w:t>
      </w:r>
    </w:p>
    <w:p w14:paraId="28DA57AA" w14:textId="77777777" w:rsidR="0032405F" w:rsidRDefault="0032405F" w:rsidP="004B740C">
      <w:pPr>
        <w:pStyle w:val="ListParagraph"/>
        <w:numPr>
          <w:ilvl w:val="0"/>
          <w:numId w:val="4"/>
        </w:numPr>
        <w:spacing w:after="0" w:line="240" w:lineRule="auto"/>
        <w:jc w:val="both"/>
      </w:pPr>
      <w:r>
        <w:t>It is about supporting students to develop a range of knowledge, skills, behaviours, attributes and attitudes which will enable them to be successful not ju</w:t>
      </w:r>
      <w:r w:rsidR="004B740C">
        <w:t>st in employment but in life</w:t>
      </w:r>
    </w:p>
    <w:p w14:paraId="5B61DEEF" w14:textId="77777777" w:rsidR="0032405F" w:rsidRDefault="0032405F" w:rsidP="004B740C">
      <w:pPr>
        <w:pStyle w:val="ListParagraph"/>
        <w:numPr>
          <w:ilvl w:val="0"/>
          <w:numId w:val="4"/>
        </w:numPr>
        <w:spacing w:after="0" w:line="240" w:lineRule="auto"/>
        <w:jc w:val="both"/>
      </w:pPr>
      <w:r>
        <w:t>It is a university-wide responsibili</w:t>
      </w:r>
      <w:r w:rsidR="004B740C">
        <w:t>ty</w:t>
      </w:r>
    </w:p>
    <w:p w14:paraId="54B27048" w14:textId="77777777" w:rsidR="0032405F" w:rsidRDefault="0032405F" w:rsidP="004B740C">
      <w:pPr>
        <w:pStyle w:val="ListParagraph"/>
        <w:numPr>
          <w:ilvl w:val="0"/>
          <w:numId w:val="4"/>
        </w:numPr>
        <w:spacing w:after="0" w:line="240" w:lineRule="auto"/>
        <w:jc w:val="both"/>
      </w:pPr>
      <w:r>
        <w:t>It is about making the components of employability explicit to students to su</w:t>
      </w:r>
      <w:r w:rsidR="004B740C">
        <w:t>pport their lifelong learning</w:t>
      </w:r>
    </w:p>
    <w:p w14:paraId="5C8A64DA" w14:textId="77777777" w:rsidR="0032405F" w:rsidRDefault="0032405F" w:rsidP="00D437C8">
      <w:pPr>
        <w:spacing w:after="0" w:line="240" w:lineRule="auto"/>
        <w:jc w:val="both"/>
      </w:pPr>
    </w:p>
    <w:p w14:paraId="444BF236" w14:textId="77777777" w:rsidR="0032405F" w:rsidRPr="004B740C" w:rsidRDefault="0032405F" w:rsidP="00D437C8">
      <w:pPr>
        <w:spacing w:after="0" w:line="240" w:lineRule="auto"/>
        <w:jc w:val="both"/>
        <w:rPr>
          <w:b/>
        </w:rPr>
      </w:pPr>
      <w:r w:rsidRPr="004B740C">
        <w:rPr>
          <w:b/>
        </w:rPr>
        <w:t xml:space="preserve">Employability - what it is not </w:t>
      </w:r>
    </w:p>
    <w:p w14:paraId="3097D47D" w14:textId="77777777" w:rsidR="0032405F" w:rsidRDefault="0032405F" w:rsidP="004B740C">
      <w:pPr>
        <w:pStyle w:val="ListParagraph"/>
        <w:numPr>
          <w:ilvl w:val="0"/>
          <w:numId w:val="5"/>
        </w:numPr>
        <w:spacing w:after="0" w:line="240" w:lineRule="auto"/>
        <w:jc w:val="both"/>
      </w:pPr>
      <w:r>
        <w:t>It is not about replacing</w:t>
      </w:r>
      <w:r w:rsidR="004B740C">
        <w:t xml:space="preserve"> academic rigour and standards</w:t>
      </w:r>
    </w:p>
    <w:p w14:paraId="4BBF9534" w14:textId="3266A9CF" w:rsidR="0032405F" w:rsidRDefault="0032405F" w:rsidP="004B740C">
      <w:pPr>
        <w:pStyle w:val="ListParagraph"/>
        <w:numPr>
          <w:ilvl w:val="0"/>
          <w:numId w:val="5"/>
        </w:numPr>
        <w:spacing w:after="0" w:line="240" w:lineRule="auto"/>
        <w:jc w:val="both"/>
      </w:pPr>
      <w:r>
        <w:t>It is not necessarily about adding mo</w:t>
      </w:r>
      <w:r w:rsidR="004B740C">
        <w:t>dules into the curriculum</w:t>
      </w:r>
    </w:p>
    <w:p w14:paraId="0FCBC4E9" w14:textId="77777777" w:rsidR="0032405F" w:rsidRDefault="0032405F" w:rsidP="004B740C">
      <w:pPr>
        <w:pStyle w:val="ListParagraph"/>
        <w:numPr>
          <w:ilvl w:val="0"/>
          <w:numId w:val="5"/>
        </w:numPr>
        <w:spacing w:after="0" w:line="240" w:lineRule="auto"/>
        <w:jc w:val="both"/>
      </w:pPr>
      <w:r>
        <w:t>It is not just about pre</w:t>
      </w:r>
      <w:r w:rsidR="004B740C">
        <w:t>paring students for employment</w:t>
      </w:r>
      <w:r w:rsidR="009643F9">
        <w:t xml:space="preserve"> and/or self-employment</w:t>
      </w:r>
    </w:p>
    <w:p w14:paraId="174DCA08" w14:textId="77777777" w:rsidR="0032405F" w:rsidRDefault="0032405F" w:rsidP="004B740C">
      <w:pPr>
        <w:pStyle w:val="ListParagraph"/>
        <w:numPr>
          <w:ilvl w:val="0"/>
          <w:numId w:val="5"/>
        </w:numPr>
        <w:spacing w:after="0" w:line="240" w:lineRule="auto"/>
        <w:jc w:val="both"/>
      </w:pPr>
      <w:r>
        <w:t>It is not the sole responsibi</w:t>
      </w:r>
      <w:r w:rsidR="004B740C">
        <w:t>lity of the Careers Department</w:t>
      </w:r>
    </w:p>
    <w:p w14:paraId="1E4C4EE7" w14:textId="77777777" w:rsidR="00E57A15" w:rsidRDefault="0032405F" w:rsidP="004B740C">
      <w:pPr>
        <w:pStyle w:val="ListParagraph"/>
        <w:numPr>
          <w:ilvl w:val="0"/>
          <w:numId w:val="5"/>
        </w:numPr>
        <w:spacing w:after="0" w:line="240" w:lineRule="auto"/>
        <w:jc w:val="both"/>
      </w:pPr>
      <w:r>
        <w:t>It is not something that can be quantified by any single measure. (Destinations of Leavers from Higher Education (DLHE) survey is a measure of employment not employability.)</w:t>
      </w:r>
    </w:p>
    <w:p w14:paraId="707BBE05" w14:textId="77777777" w:rsidR="004B740C" w:rsidRDefault="004B740C" w:rsidP="004B740C">
      <w:pPr>
        <w:spacing w:after="0" w:line="240" w:lineRule="auto"/>
        <w:jc w:val="both"/>
      </w:pPr>
    </w:p>
    <w:p w14:paraId="5635B84E" w14:textId="77777777" w:rsidR="004B740C" w:rsidRDefault="008903FB" w:rsidP="004B740C">
      <w:pPr>
        <w:spacing w:after="0" w:line="240" w:lineRule="auto"/>
        <w:jc w:val="both"/>
        <w:rPr>
          <w:b/>
        </w:rPr>
      </w:pPr>
      <w:r>
        <w:rPr>
          <w:b/>
        </w:rPr>
        <w:t>3.0</w:t>
      </w:r>
      <w:r>
        <w:rPr>
          <w:b/>
        </w:rPr>
        <w:tab/>
      </w:r>
      <w:r w:rsidR="004B740C">
        <w:rPr>
          <w:b/>
        </w:rPr>
        <w:t>Curriculum Design for Employability</w:t>
      </w:r>
    </w:p>
    <w:p w14:paraId="65EC7727" w14:textId="77777777" w:rsidR="003D4030" w:rsidRDefault="00CD2B32" w:rsidP="003D4030">
      <w:pPr>
        <w:spacing w:after="0" w:line="240" w:lineRule="auto"/>
        <w:jc w:val="both"/>
      </w:pPr>
      <w:r>
        <w:t>It is important to take a holistic approach to integrating employability into programme design and deliver</w:t>
      </w:r>
      <w:r w:rsidR="00912EE7">
        <w:t>y</w:t>
      </w:r>
      <w:r>
        <w:t xml:space="preserve">. </w:t>
      </w:r>
      <w:r w:rsidR="003D4030" w:rsidRPr="00912EE7">
        <w:t>Innovative learning, teaching and assessment methods which promote students’ understanding and help them to engage in ‘deep’ learning will also enhance their employability.</w:t>
      </w:r>
      <w:r w:rsidR="003D4030">
        <w:t xml:space="preserve"> We need to </w:t>
      </w:r>
      <w:r w:rsidR="003D4030" w:rsidRPr="00912EE7">
        <w:t xml:space="preserve">consider both </w:t>
      </w:r>
      <w:r w:rsidR="003D4030" w:rsidRPr="003D4030">
        <w:rPr>
          <w:b/>
        </w:rPr>
        <w:t>what</w:t>
      </w:r>
      <w:r w:rsidR="003D4030" w:rsidRPr="00912EE7">
        <w:t xml:space="preserve"> is taught and </w:t>
      </w:r>
      <w:r w:rsidR="003D4030" w:rsidRPr="003D4030">
        <w:rPr>
          <w:b/>
        </w:rPr>
        <w:t>how</w:t>
      </w:r>
      <w:r w:rsidR="003D4030" w:rsidRPr="00912EE7">
        <w:t xml:space="preserve"> it is taught, with pedagogies adopted that provide students with the opportunity to develop and enhance their skills and attributes as well as acquiring knowledge and understanding</w:t>
      </w:r>
      <w:r w:rsidR="003D4030">
        <w:t xml:space="preserve">.  </w:t>
      </w:r>
      <w:r w:rsidR="003B664B">
        <w:t>It is n</w:t>
      </w:r>
      <w:r w:rsidR="003D4030">
        <w:t xml:space="preserve">ot is about replacing core subject content, rather it is about how students learn and apply </w:t>
      </w:r>
      <w:r w:rsidR="003B664B">
        <w:t>their discipline</w:t>
      </w:r>
      <w:r w:rsidR="003D4030">
        <w:t>.</w:t>
      </w:r>
    </w:p>
    <w:p w14:paraId="3BA405CF" w14:textId="77777777" w:rsidR="00CD2B32" w:rsidRDefault="00CD2B32" w:rsidP="00912EE7">
      <w:pPr>
        <w:spacing w:after="0" w:line="240" w:lineRule="auto"/>
        <w:jc w:val="both"/>
      </w:pPr>
    </w:p>
    <w:p w14:paraId="1E7FAC98" w14:textId="77777777" w:rsidR="00E57A15" w:rsidRDefault="007E62FF" w:rsidP="00D437C8">
      <w:pPr>
        <w:spacing w:after="0" w:line="240" w:lineRule="auto"/>
        <w:jc w:val="both"/>
      </w:pPr>
      <w:r>
        <w:t xml:space="preserve">There is no single model for integrating employability. </w:t>
      </w:r>
      <w:r w:rsidR="004B740C">
        <w:t>Every curriculum will look different</w:t>
      </w:r>
      <w:r w:rsidR="00BA39BD">
        <w:t xml:space="preserve"> and should be discipline specific. However, curriculum design and delivery for employability</w:t>
      </w:r>
      <w:r w:rsidR="004B740C">
        <w:t xml:space="preserve"> is likely to include elements of the following:</w:t>
      </w:r>
    </w:p>
    <w:p w14:paraId="230D0741" w14:textId="74A867D5" w:rsidR="004B740C" w:rsidRDefault="004B740C" w:rsidP="004B740C">
      <w:pPr>
        <w:pStyle w:val="ListParagraph"/>
        <w:numPr>
          <w:ilvl w:val="0"/>
          <w:numId w:val="6"/>
        </w:numPr>
        <w:spacing w:after="0" w:line="240" w:lineRule="auto"/>
        <w:jc w:val="both"/>
      </w:pPr>
      <w:r>
        <w:t>Opportunitie</w:t>
      </w:r>
      <w:r w:rsidR="003B4F0C">
        <w:t xml:space="preserve">s for, and active encouragement of, </w:t>
      </w:r>
      <w:r w:rsidR="003B4F0C" w:rsidRPr="003B4F0C">
        <w:rPr>
          <w:b/>
        </w:rPr>
        <w:t>work-related experience</w:t>
      </w:r>
      <w:r w:rsidR="003B4F0C">
        <w:rPr>
          <w:b/>
        </w:rPr>
        <w:t>s</w:t>
      </w:r>
      <w:r w:rsidR="003B4F0C">
        <w:t xml:space="preserve">, such as work experience, volunteering experience linked to the curriculum, project work for an employer, live briefs. </w:t>
      </w:r>
      <w:r w:rsidR="00DD05F8">
        <w:t>CCCU is</w:t>
      </w:r>
      <w:r w:rsidR="003B4F0C" w:rsidRPr="003B4F0C">
        <w:t xml:space="preserve"> committed to all undergraduate programmes including a compulsory and </w:t>
      </w:r>
      <w:r w:rsidR="003B4F0C" w:rsidRPr="003B4F0C">
        <w:lastRenderedPageBreak/>
        <w:t>assessed element of work-related experience, to the value of twenty credits or equivalent, in the form of a single module or across modules and levels</w:t>
      </w:r>
      <w:bookmarkStart w:id="0" w:name="_GoBack"/>
      <w:bookmarkEnd w:id="0"/>
      <w:r w:rsidR="003B4F0C">
        <w:t xml:space="preserve">. </w:t>
      </w:r>
      <w:r w:rsidR="00782CB5">
        <w:t xml:space="preserve"> Please see the ‘Work-related experience key principles’ document for further information.  </w:t>
      </w:r>
    </w:p>
    <w:p w14:paraId="45DC1FC1" w14:textId="77777777" w:rsidR="003B4F0C" w:rsidRDefault="003B4F0C" w:rsidP="004B740C">
      <w:pPr>
        <w:pStyle w:val="ListParagraph"/>
        <w:numPr>
          <w:ilvl w:val="0"/>
          <w:numId w:val="6"/>
        </w:numPr>
        <w:spacing w:after="0" w:line="240" w:lineRule="auto"/>
        <w:jc w:val="both"/>
      </w:pPr>
      <w:r>
        <w:rPr>
          <w:b/>
        </w:rPr>
        <w:t>Employer/Alumni involvement</w:t>
      </w:r>
      <w:r>
        <w:t>, including advisory boards for programme development, mentors, involvement in assessment, providing case studies and project briefs, guest speakers and placement providers.</w:t>
      </w:r>
    </w:p>
    <w:p w14:paraId="28BB1278" w14:textId="77777777" w:rsidR="003B4F0C" w:rsidRPr="00B17389" w:rsidRDefault="00B17389" w:rsidP="004B740C">
      <w:pPr>
        <w:pStyle w:val="ListParagraph"/>
        <w:numPr>
          <w:ilvl w:val="0"/>
          <w:numId w:val="6"/>
        </w:numPr>
        <w:spacing w:after="0" w:line="240" w:lineRule="auto"/>
        <w:jc w:val="both"/>
      </w:pPr>
      <w:r>
        <w:rPr>
          <w:b/>
        </w:rPr>
        <w:t xml:space="preserve">Include real-world examples. </w:t>
      </w:r>
    </w:p>
    <w:p w14:paraId="2BC059E4" w14:textId="77777777" w:rsidR="00B17389" w:rsidRDefault="00B17389" w:rsidP="004B740C">
      <w:pPr>
        <w:pStyle w:val="ListParagraph"/>
        <w:numPr>
          <w:ilvl w:val="0"/>
          <w:numId w:val="6"/>
        </w:numPr>
        <w:spacing w:after="0" w:line="240" w:lineRule="auto"/>
        <w:jc w:val="both"/>
      </w:pPr>
      <w:r>
        <w:rPr>
          <w:b/>
        </w:rPr>
        <w:t xml:space="preserve">Active </w:t>
      </w:r>
      <w:r>
        <w:t>teaching, for example, problem solving, real-world activities, team activities</w:t>
      </w:r>
      <w:r w:rsidR="004C55DB">
        <w:t>, consultancy projects, competitions</w:t>
      </w:r>
      <w:r>
        <w:t>.</w:t>
      </w:r>
    </w:p>
    <w:p w14:paraId="0D454092" w14:textId="77777777" w:rsidR="00B17389" w:rsidRPr="00B17389" w:rsidRDefault="00B17389" w:rsidP="004B740C">
      <w:pPr>
        <w:pStyle w:val="ListParagraph"/>
        <w:numPr>
          <w:ilvl w:val="0"/>
          <w:numId w:val="6"/>
        </w:numPr>
        <w:spacing w:after="0" w:line="240" w:lineRule="auto"/>
        <w:jc w:val="both"/>
      </w:pPr>
      <w:r>
        <w:t xml:space="preserve">Opportunities for students to enhance their </w:t>
      </w:r>
      <w:r>
        <w:rPr>
          <w:b/>
        </w:rPr>
        <w:t>skills and attributes – adaptable, digitally literate, effective communicator, informed, innovative, professional and self-aware (CCCU Graduate Attributes).</w:t>
      </w:r>
    </w:p>
    <w:p w14:paraId="34CAD21E" w14:textId="77777777" w:rsidR="00B17389" w:rsidRDefault="004C55DB" w:rsidP="004B740C">
      <w:pPr>
        <w:pStyle w:val="ListParagraph"/>
        <w:numPr>
          <w:ilvl w:val="0"/>
          <w:numId w:val="6"/>
        </w:numPr>
        <w:spacing w:after="0" w:line="240" w:lineRule="auto"/>
        <w:jc w:val="both"/>
      </w:pPr>
      <w:r>
        <w:rPr>
          <w:b/>
        </w:rPr>
        <w:t>Enterprise education</w:t>
      </w:r>
      <w:r>
        <w:t xml:space="preserve">, to develop creativity, innovation, confidence and resilience; skills for both entrepreneurs and </w:t>
      </w:r>
      <w:proofErr w:type="spellStart"/>
      <w:r>
        <w:t>intrapreneurs</w:t>
      </w:r>
      <w:proofErr w:type="spellEnd"/>
      <w:r>
        <w:t xml:space="preserve">. </w:t>
      </w:r>
    </w:p>
    <w:p w14:paraId="63EBA1C3" w14:textId="77777777" w:rsidR="004C55DB" w:rsidRDefault="004C55DB" w:rsidP="004B740C">
      <w:pPr>
        <w:pStyle w:val="ListParagraph"/>
        <w:numPr>
          <w:ilvl w:val="0"/>
          <w:numId w:val="6"/>
        </w:numPr>
        <w:spacing w:after="0" w:line="240" w:lineRule="auto"/>
        <w:jc w:val="both"/>
        <w:rPr>
          <w:b/>
        </w:rPr>
      </w:pPr>
      <w:r w:rsidRPr="004C55DB">
        <w:rPr>
          <w:b/>
        </w:rPr>
        <w:t>Career development learning</w:t>
      </w:r>
      <w:r>
        <w:rPr>
          <w:b/>
        </w:rPr>
        <w:t>.</w:t>
      </w:r>
    </w:p>
    <w:p w14:paraId="61A9A003" w14:textId="77777777" w:rsidR="00CD2B32" w:rsidRDefault="00CD2B32" w:rsidP="00CD2B32">
      <w:pPr>
        <w:pStyle w:val="ListParagraph"/>
        <w:numPr>
          <w:ilvl w:val="0"/>
          <w:numId w:val="6"/>
        </w:numPr>
        <w:autoSpaceDE w:val="0"/>
        <w:autoSpaceDN w:val="0"/>
        <w:adjustRightInd w:val="0"/>
        <w:spacing w:after="0" w:line="240" w:lineRule="auto"/>
        <w:jc w:val="both"/>
      </w:pPr>
      <w:r>
        <w:t>Featured</w:t>
      </w:r>
      <w:r w:rsidRPr="008D6C77">
        <w:t xml:space="preserve"> </w:t>
      </w:r>
      <w:r w:rsidRPr="00CD2B32">
        <w:rPr>
          <w:b/>
        </w:rPr>
        <w:t>across</w:t>
      </w:r>
      <w:r w:rsidRPr="008D6C77">
        <w:t xml:space="preserve"> </w:t>
      </w:r>
      <w:r>
        <w:t>the</w:t>
      </w:r>
      <w:r w:rsidRPr="008D6C77">
        <w:t xml:space="preserve"> programme</w:t>
      </w:r>
      <w:r>
        <w:t xml:space="preserve">, and </w:t>
      </w:r>
      <w:r w:rsidRPr="00CD2B32">
        <w:rPr>
          <w:b/>
        </w:rPr>
        <w:t>build year-on-year</w:t>
      </w:r>
      <w:r>
        <w:t xml:space="preserve"> – through modules which all offer opportunities to build skills, understanding, personal responsibility and decision making.</w:t>
      </w:r>
    </w:p>
    <w:p w14:paraId="436C7BB1" w14:textId="77777777" w:rsidR="004C55DB" w:rsidRDefault="004C55DB" w:rsidP="004B740C">
      <w:pPr>
        <w:pStyle w:val="ListParagraph"/>
        <w:numPr>
          <w:ilvl w:val="0"/>
          <w:numId w:val="6"/>
        </w:numPr>
        <w:spacing w:after="0" w:line="240" w:lineRule="auto"/>
        <w:jc w:val="both"/>
        <w:rPr>
          <w:b/>
        </w:rPr>
      </w:pPr>
      <w:r w:rsidRPr="004C55DB">
        <w:t>Opportunities for</w:t>
      </w:r>
      <w:r>
        <w:rPr>
          <w:b/>
        </w:rPr>
        <w:t xml:space="preserve"> reflection, articulation and planning </w:t>
      </w:r>
      <w:r w:rsidRPr="004C55DB">
        <w:t>on individuals’ development.</w:t>
      </w:r>
    </w:p>
    <w:p w14:paraId="33D1FEA8" w14:textId="77777777" w:rsidR="004C55DB" w:rsidRPr="00912EE7" w:rsidRDefault="00501190" w:rsidP="004B740C">
      <w:pPr>
        <w:pStyle w:val="ListParagraph"/>
        <w:numPr>
          <w:ilvl w:val="0"/>
          <w:numId w:val="6"/>
        </w:numPr>
        <w:spacing w:after="0" w:line="240" w:lineRule="auto"/>
        <w:jc w:val="both"/>
        <w:rPr>
          <w:b/>
        </w:rPr>
      </w:pPr>
      <w:r>
        <w:t xml:space="preserve">Supported by a </w:t>
      </w:r>
      <w:r w:rsidRPr="00501190">
        <w:rPr>
          <w:b/>
        </w:rPr>
        <w:t>Personal Academic Tutoring</w:t>
      </w:r>
      <w:r>
        <w:t xml:space="preserve"> system which provides an opportunity for students to have career and personal development discussions. </w:t>
      </w:r>
    </w:p>
    <w:p w14:paraId="1A234634" w14:textId="77777777" w:rsidR="003B664B" w:rsidRDefault="003B664B" w:rsidP="00912EE7">
      <w:pPr>
        <w:spacing w:after="0" w:line="240" w:lineRule="auto"/>
        <w:jc w:val="both"/>
        <w:rPr>
          <w:b/>
        </w:rPr>
      </w:pPr>
    </w:p>
    <w:p w14:paraId="56490431" w14:textId="77777777" w:rsidR="003B664B" w:rsidRDefault="009B7C3D" w:rsidP="00912EE7">
      <w:pPr>
        <w:spacing w:after="0" w:line="240" w:lineRule="auto"/>
        <w:jc w:val="both"/>
        <w:rPr>
          <w:b/>
        </w:rPr>
      </w:pPr>
      <w:r>
        <w:rPr>
          <w:b/>
        </w:rPr>
        <w:t>4.0</w:t>
      </w:r>
      <w:r>
        <w:rPr>
          <w:b/>
        </w:rPr>
        <w:tab/>
        <w:t>W</w:t>
      </w:r>
      <w:r w:rsidR="003B664B">
        <w:rPr>
          <w:b/>
        </w:rPr>
        <w:t>hat to consider next</w:t>
      </w:r>
    </w:p>
    <w:p w14:paraId="4A32BAB2" w14:textId="77777777" w:rsidR="003B664B" w:rsidRPr="003B664B" w:rsidRDefault="003B664B" w:rsidP="004E0A80">
      <w:pPr>
        <w:pStyle w:val="ListParagraph"/>
        <w:numPr>
          <w:ilvl w:val="0"/>
          <w:numId w:val="7"/>
        </w:numPr>
        <w:spacing w:after="0" w:line="240" w:lineRule="auto"/>
        <w:jc w:val="both"/>
        <w:rPr>
          <w:b/>
        </w:rPr>
      </w:pPr>
      <w:r w:rsidRPr="003B664B">
        <w:rPr>
          <w:lang w:val="en"/>
        </w:rPr>
        <w:t xml:space="preserve">Consider conducting an employability audit of your curriculum - </w:t>
      </w:r>
      <w:r>
        <w:rPr>
          <w:lang w:val="en"/>
        </w:rPr>
        <w:t>u</w:t>
      </w:r>
      <w:r w:rsidRPr="003B664B">
        <w:rPr>
          <w:lang w:val="en"/>
        </w:rPr>
        <w:t>nderstanding your current employability position is key to knowing what you do well and what could be improved.</w:t>
      </w:r>
    </w:p>
    <w:p w14:paraId="173111EA" w14:textId="77777777" w:rsidR="003B664B" w:rsidRPr="004B1286" w:rsidRDefault="003B664B" w:rsidP="004E0A80">
      <w:pPr>
        <w:pStyle w:val="ListParagraph"/>
        <w:numPr>
          <w:ilvl w:val="0"/>
          <w:numId w:val="7"/>
        </w:numPr>
        <w:spacing w:after="0" w:line="240" w:lineRule="auto"/>
        <w:jc w:val="both"/>
        <w:rPr>
          <w:b/>
        </w:rPr>
      </w:pPr>
      <w:r>
        <w:t>Use Destination of Leavers from Higher Education (DLHE) and NSS data</w:t>
      </w:r>
      <w:r w:rsidR="004B1286">
        <w:t xml:space="preserve"> as well as feedback from students, alumni and employers </w:t>
      </w:r>
      <w:r>
        <w:t xml:space="preserve">to inform </w:t>
      </w:r>
      <w:r w:rsidR="004B1286">
        <w:t>your audit.</w:t>
      </w:r>
    </w:p>
    <w:p w14:paraId="5088E9EA" w14:textId="77777777" w:rsidR="004B1286" w:rsidRPr="004B1286" w:rsidRDefault="004B1286" w:rsidP="004B1286">
      <w:pPr>
        <w:pStyle w:val="ListParagraph"/>
        <w:numPr>
          <w:ilvl w:val="0"/>
          <w:numId w:val="7"/>
        </w:numPr>
        <w:spacing w:after="0" w:line="240" w:lineRule="auto"/>
        <w:jc w:val="both"/>
        <w:rPr>
          <w:b/>
        </w:rPr>
      </w:pPr>
      <w:r>
        <w:t xml:space="preserve">Employability data and audit can help action plan, better promote your employability successes (a marketing tool and in preparation for subject TEF) and help identify priorities for enhancement. </w:t>
      </w:r>
    </w:p>
    <w:p w14:paraId="2F82A0C8" w14:textId="77777777" w:rsidR="004B1286" w:rsidRDefault="004B1286" w:rsidP="004B1286">
      <w:pPr>
        <w:spacing w:after="0" w:line="240" w:lineRule="auto"/>
        <w:jc w:val="both"/>
        <w:rPr>
          <w:b/>
        </w:rPr>
      </w:pPr>
    </w:p>
    <w:p w14:paraId="415EEC47" w14:textId="77777777" w:rsidR="004B1286" w:rsidRPr="004B1286" w:rsidRDefault="004B1286" w:rsidP="004B1286">
      <w:pPr>
        <w:spacing w:after="0" w:line="240" w:lineRule="auto"/>
        <w:jc w:val="both"/>
      </w:pPr>
      <w:r>
        <w:t>Career Development, Faculty Directors of Learning and Teaching, and Learning, Teaching Enhancement can support you to integrate employability in your curriculum</w:t>
      </w:r>
    </w:p>
    <w:p w14:paraId="719B2E8A" w14:textId="77777777" w:rsidR="00912EE7" w:rsidRDefault="00912EE7" w:rsidP="00912EE7">
      <w:pPr>
        <w:spacing w:after="0" w:line="240" w:lineRule="auto"/>
        <w:jc w:val="both"/>
        <w:rPr>
          <w:b/>
        </w:rPr>
      </w:pPr>
    </w:p>
    <w:p w14:paraId="695560A9" w14:textId="77777777" w:rsidR="00912EE7" w:rsidRDefault="009B7C3D" w:rsidP="00912EE7">
      <w:pPr>
        <w:spacing w:after="0" w:line="240" w:lineRule="auto"/>
        <w:jc w:val="both"/>
        <w:rPr>
          <w:b/>
        </w:rPr>
      </w:pPr>
      <w:r>
        <w:rPr>
          <w:b/>
        </w:rPr>
        <w:t>5.0</w:t>
      </w:r>
      <w:r>
        <w:rPr>
          <w:b/>
        </w:rPr>
        <w:tab/>
      </w:r>
      <w:r w:rsidR="00912EE7">
        <w:rPr>
          <w:b/>
        </w:rPr>
        <w:t>Useful Resources</w:t>
      </w:r>
    </w:p>
    <w:p w14:paraId="0B6A2F68" w14:textId="77777777" w:rsidR="004B1286" w:rsidRDefault="004B1286" w:rsidP="009B7C3D">
      <w:pPr>
        <w:spacing w:after="0" w:line="240" w:lineRule="auto"/>
        <w:jc w:val="both"/>
        <w:rPr>
          <w:lang w:val="en"/>
        </w:rPr>
      </w:pPr>
      <w:r>
        <w:rPr>
          <w:lang w:val="en"/>
        </w:rPr>
        <w:t xml:space="preserve">The HEA </w:t>
      </w:r>
      <w:hyperlink r:id="rId9" w:history="1">
        <w:r>
          <w:rPr>
            <w:rStyle w:val="Hyperlink"/>
            <w:lang w:val="en"/>
          </w:rPr>
          <w:t>Mapping Employability Toolkit</w:t>
        </w:r>
      </w:hyperlink>
      <w:r>
        <w:rPr>
          <w:lang w:val="en"/>
        </w:rPr>
        <w:t xml:space="preserve"> (recommended) </w:t>
      </w:r>
    </w:p>
    <w:p w14:paraId="03A94D80" w14:textId="77777777" w:rsidR="009B7C3D" w:rsidRDefault="009B7C3D" w:rsidP="009B7C3D">
      <w:pPr>
        <w:spacing w:after="0" w:line="240" w:lineRule="auto"/>
        <w:jc w:val="both"/>
        <w:rPr>
          <w:lang w:val="en"/>
        </w:rPr>
      </w:pPr>
    </w:p>
    <w:p w14:paraId="110EDB21" w14:textId="77777777" w:rsidR="004B1286" w:rsidRDefault="004B1286" w:rsidP="009B7C3D">
      <w:pPr>
        <w:spacing w:after="0" w:line="240" w:lineRule="auto"/>
        <w:jc w:val="both"/>
        <w:rPr>
          <w:lang w:val="en"/>
        </w:rPr>
      </w:pPr>
      <w:r>
        <w:rPr>
          <w:lang w:val="en"/>
        </w:rPr>
        <w:t xml:space="preserve">Cole, D. and </w:t>
      </w:r>
      <w:proofErr w:type="spellStart"/>
      <w:r>
        <w:rPr>
          <w:lang w:val="en"/>
        </w:rPr>
        <w:t>Tibby</w:t>
      </w:r>
      <w:proofErr w:type="spellEnd"/>
      <w:r>
        <w:rPr>
          <w:lang w:val="en"/>
        </w:rPr>
        <w:t xml:space="preserve">, M (2013). </w:t>
      </w:r>
      <w:hyperlink r:id="rId10" w:history="1">
        <w:r>
          <w:rPr>
            <w:rStyle w:val="Hyperlink"/>
            <w:lang w:val="en"/>
          </w:rPr>
          <w:t xml:space="preserve">Defining and developing your approach to employability – A framework for higher education institutions. </w:t>
        </w:r>
      </w:hyperlink>
      <w:r>
        <w:rPr>
          <w:lang w:val="en"/>
        </w:rPr>
        <w:t>The Higher Education Academy</w:t>
      </w:r>
    </w:p>
    <w:p w14:paraId="01F93A3D" w14:textId="77777777" w:rsidR="009B7C3D" w:rsidRDefault="009B7C3D" w:rsidP="009B7C3D">
      <w:pPr>
        <w:spacing w:after="0" w:line="240" w:lineRule="auto"/>
        <w:jc w:val="both"/>
        <w:rPr>
          <w:lang w:val="en"/>
        </w:rPr>
      </w:pPr>
    </w:p>
    <w:p w14:paraId="513BE0F2" w14:textId="77777777" w:rsidR="004B1286" w:rsidRDefault="004B1286" w:rsidP="009B7C3D">
      <w:pPr>
        <w:spacing w:after="0" w:line="240" w:lineRule="auto"/>
        <w:jc w:val="both"/>
        <w:rPr>
          <w:lang w:val="en"/>
        </w:rPr>
      </w:pPr>
      <w:r>
        <w:rPr>
          <w:lang w:val="en"/>
        </w:rPr>
        <w:t xml:space="preserve">JISC: </w:t>
      </w:r>
      <w:hyperlink r:id="rId11" w:history="1">
        <w:r>
          <w:rPr>
            <w:rStyle w:val="Hyperlink"/>
            <w:lang w:val="en"/>
          </w:rPr>
          <w:t>Developing student employability project</w:t>
        </w:r>
      </w:hyperlink>
      <w:r>
        <w:rPr>
          <w:lang w:val="en"/>
        </w:rPr>
        <w:t xml:space="preserve"> – reports, case studies and toolkit</w:t>
      </w:r>
    </w:p>
    <w:p w14:paraId="013172E5" w14:textId="77777777" w:rsidR="009B7C3D" w:rsidRDefault="009B7C3D" w:rsidP="009B7C3D">
      <w:pPr>
        <w:spacing w:after="0" w:line="240" w:lineRule="auto"/>
        <w:jc w:val="both"/>
        <w:rPr>
          <w:lang w:val="en"/>
        </w:rPr>
      </w:pPr>
    </w:p>
    <w:p w14:paraId="6111708A" w14:textId="77777777" w:rsidR="004B1286" w:rsidRPr="00FC774C" w:rsidRDefault="004B1286" w:rsidP="009B7C3D">
      <w:pPr>
        <w:spacing w:after="0" w:line="240" w:lineRule="auto"/>
        <w:rPr>
          <w:rStyle w:val="Emphasis"/>
          <w:b/>
          <w:i w:val="0"/>
        </w:rPr>
      </w:pPr>
      <w:r w:rsidRPr="004B1286">
        <w:rPr>
          <w:iCs/>
          <w:lang w:val="en"/>
        </w:rPr>
        <w:t>Employability is a hallmark of degree-level qualifications -</w:t>
      </w:r>
      <w:r>
        <w:rPr>
          <w:rStyle w:val="Emphasis"/>
          <w:b/>
        </w:rPr>
        <w:t xml:space="preserve"> </w:t>
      </w:r>
      <w:hyperlink r:id="rId12" w:history="1">
        <w:r w:rsidRPr="00322BAD">
          <w:rPr>
            <w:rStyle w:val="Hyperlink"/>
            <w:b/>
          </w:rPr>
          <w:t>http://www.qaa.ac.uk/en/Publications/Documents/qualifications-frameworks.pdf</w:t>
        </w:r>
      </w:hyperlink>
      <w:r>
        <w:rPr>
          <w:rStyle w:val="Emphasis"/>
          <w:b/>
        </w:rPr>
        <w:t xml:space="preserve"> </w:t>
      </w:r>
    </w:p>
    <w:p w14:paraId="7517448F" w14:textId="77777777" w:rsidR="004B1286" w:rsidRPr="00912EE7" w:rsidRDefault="004B1286" w:rsidP="009B7C3D">
      <w:pPr>
        <w:spacing w:after="0" w:line="240" w:lineRule="auto"/>
        <w:jc w:val="both"/>
        <w:rPr>
          <w:b/>
        </w:rPr>
      </w:pPr>
    </w:p>
    <w:p w14:paraId="18AE12DE" w14:textId="77777777" w:rsidR="005F1564" w:rsidRPr="005F1564" w:rsidRDefault="005F1564" w:rsidP="009B7C3D">
      <w:pPr>
        <w:spacing w:after="0" w:line="240" w:lineRule="auto"/>
        <w:jc w:val="both"/>
      </w:pPr>
    </w:p>
    <w:sectPr w:rsidR="005F1564" w:rsidRPr="005F15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93914" w14:textId="77777777" w:rsidR="004E7BBA" w:rsidRDefault="004E7BBA" w:rsidP="0032405F">
      <w:pPr>
        <w:spacing w:after="0" w:line="240" w:lineRule="auto"/>
      </w:pPr>
      <w:r>
        <w:separator/>
      </w:r>
    </w:p>
  </w:endnote>
  <w:endnote w:type="continuationSeparator" w:id="0">
    <w:p w14:paraId="0712EED4" w14:textId="77777777" w:rsidR="004E7BBA" w:rsidRDefault="004E7BBA" w:rsidP="0032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C7C1C" w14:textId="77777777" w:rsidR="004E7BBA" w:rsidRDefault="004E7BBA" w:rsidP="0032405F">
      <w:pPr>
        <w:spacing w:after="0" w:line="240" w:lineRule="auto"/>
      </w:pPr>
      <w:r>
        <w:separator/>
      </w:r>
    </w:p>
  </w:footnote>
  <w:footnote w:type="continuationSeparator" w:id="0">
    <w:p w14:paraId="2B83DFCB" w14:textId="77777777" w:rsidR="004E7BBA" w:rsidRDefault="004E7BBA" w:rsidP="0032405F">
      <w:pPr>
        <w:spacing w:after="0" w:line="240" w:lineRule="auto"/>
      </w:pPr>
      <w:r>
        <w:continuationSeparator/>
      </w:r>
    </w:p>
  </w:footnote>
  <w:footnote w:id="1">
    <w:p w14:paraId="67172596" w14:textId="77777777" w:rsidR="00CD0982" w:rsidRDefault="00CD0982" w:rsidP="00CD0982">
      <w:pPr>
        <w:pStyle w:val="FootnoteText"/>
      </w:pPr>
      <w:r>
        <w:rPr>
          <w:rStyle w:val="FootnoteReference"/>
        </w:rPr>
        <w:footnoteRef/>
      </w:r>
      <w:r>
        <w:t xml:space="preserve"> </w:t>
      </w:r>
      <w:proofErr w:type="spellStart"/>
      <w:r>
        <w:t>Jonesa</w:t>
      </w:r>
      <w:proofErr w:type="spellEnd"/>
      <w:r>
        <w:t>, Green and Higson (2015) Do work placements improve final year academic performance or do high-calibre students choose to do work placements? Studies in Higher Education</w:t>
      </w:r>
    </w:p>
  </w:footnote>
  <w:footnote w:id="2">
    <w:p w14:paraId="7E09D7FC" w14:textId="77777777" w:rsidR="00CD0982" w:rsidRDefault="00CD0982">
      <w:pPr>
        <w:pStyle w:val="FootnoteText"/>
      </w:pPr>
      <w:r w:rsidRPr="00CD0982">
        <w:footnoteRef/>
      </w:r>
      <w:r>
        <w:t xml:space="preserve"> “Over a third of recruiters who took part in the research repeated their warnings from previous years – that graduates who have had no previous work experience at all are unlikely to be successful during the selection process and have little or no chance of receiving a job offer for their organisations’ graduate programmes.” High Fliers’ Graduate Jobs Survey 2017. </w:t>
      </w:r>
    </w:p>
  </w:footnote>
  <w:footnote w:id="3">
    <w:p w14:paraId="5AAFDF59" w14:textId="77777777" w:rsidR="0032405F" w:rsidRDefault="0032405F">
      <w:pPr>
        <w:pStyle w:val="FootnoteText"/>
      </w:pPr>
      <w:r>
        <w:rPr>
          <w:rStyle w:val="FootnoteReference"/>
        </w:rPr>
        <w:footnoteRef/>
      </w:r>
      <w:r>
        <w:t xml:space="preserve"> Cole and </w:t>
      </w:r>
      <w:proofErr w:type="spellStart"/>
      <w:r>
        <w:t>Tibby</w:t>
      </w:r>
      <w:proofErr w:type="spellEnd"/>
      <w:r>
        <w:t xml:space="preserve"> (2013) ‘Defining and Developing your Approach to Employability’, HEA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522"/>
    <w:multiLevelType w:val="hybridMultilevel"/>
    <w:tmpl w:val="295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800A1"/>
    <w:multiLevelType w:val="hybridMultilevel"/>
    <w:tmpl w:val="C060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44749"/>
    <w:multiLevelType w:val="hybridMultilevel"/>
    <w:tmpl w:val="1B5011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A04CE"/>
    <w:multiLevelType w:val="hybridMultilevel"/>
    <w:tmpl w:val="F8D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73314"/>
    <w:multiLevelType w:val="hybridMultilevel"/>
    <w:tmpl w:val="96F2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67018"/>
    <w:multiLevelType w:val="multilevel"/>
    <w:tmpl w:val="5518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66071"/>
    <w:multiLevelType w:val="hybridMultilevel"/>
    <w:tmpl w:val="49AA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85"/>
    <w:rsid w:val="00096EBE"/>
    <w:rsid w:val="000D5F96"/>
    <w:rsid w:val="00235CC6"/>
    <w:rsid w:val="0032405F"/>
    <w:rsid w:val="003B4F0C"/>
    <w:rsid w:val="003B664B"/>
    <w:rsid w:val="003D4030"/>
    <w:rsid w:val="004B1286"/>
    <w:rsid w:val="004B740C"/>
    <w:rsid w:val="004C55DB"/>
    <w:rsid w:val="004E7BBA"/>
    <w:rsid w:val="00501190"/>
    <w:rsid w:val="005B42B6"/>
    <w:rsid w:val="005F1564"/>
    <w:rsid w:val="006D0CF1"/>
    <w:rsid w:val="006D4A85"/>
    <w:rsid w:val="00782CB5"/>
    <w:rsid w:val="007E62FF"/>
    <w:rsid w:val="008903FB"/>
    <w:rsid w:val="009044F0"/>
    <w:rsid w:val="00912EE7"/>
    <w:rsid w:val="009643F9"/>
    <w:rsid w:val="009B7C3D"/>
    <w:rsid w:val="00A04662"/>
    <w:rsid w:val="00A31FA6"/>
    <w:rsid w:val="00A338CE"/>
    <w:rsid w:val="00B17389"/>
    <w:rsid w:val="00BA39BD"/>
    <w:rsid w:val="00CD0982"/>
    <w:rsid w:val="00CD2B32"/>
    <w:rsid w:val="00D437C8"/>
    <w:rsid w:val="00DD05F8"/>
    <w:rsid w:val="00E57A15"/>
    <w:rsid w:val="00F52D92"/>
    <w:rsid w:val="00FD5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80DD"/>
  <w15:chartTrackingRefBased/>
  <w15:docId w15:val="{AC463438-B46A-4067-B44D-FCFABC7B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37C8"/>
    <w:rPr>
      <w:b/>
      <w:bCs/>
    </w:rPr>
  </w:style>
  <w:style w:type="character" w:customStyle="1" w:styleId="apple-converted-space">
    <w:name w:val="apple-converted-space"/>
    <w:basedOn w:val="DefaultParagraphFont"/>
    <w:rsid w:val="00D437C8"/>
  </w:style>
  <w:style w:type="paragraph" w:styleId="ListParagraph">
    <w:name w:val="List Paragraph"/>
    <w:basedOn w:val="Normal"/>
    <w:uiPriority w:val="34"/>
    <w:qFormat/>
    <w:rsid w:val="00D437C8"/>
    <w:pPr>
      <w:ind w:left="720"/>
      <w:contextualSpacing/>
    </w:pPr>
  </w:style>
  <w:style w:type="paragraph" w:styleId="FootnoteText">
    <w:name w:val="footnote text"/>
    <w:basedOn w:val="Normal"/>
    <w:link w:val="FootnoteTextChar"/>
    <w:uiPriority w:val="99"/>
    <w:semiHidden/>
    <w:unhideWhenUsed/>
    <w:rsid w:val="003240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05F"/>
    <w:rPr>
      <w:sz w:val="20"/>
      <w:szCs w:val="20"/>
    </w:rPr>
  </w:style>
  <w:style w:type="character" w:styleId="FootnoteReference">
    <w:name w:val="footnote reference"/>
    <w:basedOn w:val="DefaultParagraphFont"/>
    <w:uiPriority w:val="99"/>
    <w:semiHidden/>
    <w:unhideWhenUsed/>
    <w:rsid w:val="0032405F"/>
    <w:rPr>
      <w:vertAlign w:val="superscript"/>
    </w:rPr>
  </w:style>
  <w:style w:type="character" w:styleId="Emphasis">
    <w:name w:val="Emphasis"/>
    <w:basedOn w:val="DefaultParagraphFont"/>
    <w:uiPriority w:val="20"/>
    <w:qFormat/>
    <w:rsid w:val="00F52D92"/>
    <w:rPr>
      <w:i/>
      <w:iCs/>
    </w:rPr>
  </w:style>
  <w:style w:type="character" w:styleId="HTMLCite">
    <w:name w:val="HTML Cite"/>
    <w:basedOn w:val="DefaultParagraphFont"/>
    <w:uiPriority w:val="99"/>
    <w:semiHidden/>
    <w:unhideWhenUsed/>
    <w:rsid w:val="00912EE7"/>
    <w:rPr>
      <w:i/>
      <w:iCs/>
      <w:color w:val="6A6A6A"/>
      <w:sz w:val="20"/>
      <w:szCs w:val="20"/>
    </w:rPr>
  </w:style>
  <w:style w:type="paragraph" w:styleId="NormalWeb">
    <w:name w:val="Normal (Web)"/>
    <w:basedOn w:val="Normal"/>
    <w:uiPriority w:val="99"/>
    <w:unhideWhenUsed/>
    <w:rsid w:val="00912EE7"/>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1286"/>
    <w:rPr>
      <w:color w:val="0000FF"/>
      <w:u w:val="single"/>
    </w:rPr>
  </w:style>
  <w:style w:type="character" w:styleId="FollowedHyperlink">
    <w:name w:val="FollowedHyperlink"/>
    <w:basedOn w:val="DefaultParagraphFont"/>
    <w:uiPriority w:val="99"/>
    <w:semiHidden/>
    <w:unhideWhenUsed/>
    <w:rsid w:val="004B1286"/>
    <w:rPr>
      <w:color w:val="954F72" w:themeColor="followedHyperlink"/>
      <w:u w:val="single"/>
    </w:rPr>
  </w:style>
  <w:style w:type="character" w:styleId="CommentReference">
    <w:name w:val="annotation reference"/>
    <w:basedOn w:val="DefaultParagraphFont"/>
    <w:uiPriority w:val="99"/>
    <w:semiHidden/>
    <w:unhideWhenUsed/>
    <w:rsid w:val="005B42B6"/>
    <w:rPr>
      <w:sz w:val="16"/>
      <w:szCs w:val="16"/>
    </w:rPr>
  </w:style>
  <w:style w:type="paragraph" w:styleId="CommentText">
    <w:name w:val="annotation text"/>
    <w:basedOn w:val="Normal"/>
    <w:link w:val="CommentTextChar"/>
    <w:uiPriority w:val="99"/>
    <w:semiHidden/>
    <w:unhideWhenUsed/>
    <w:rsid w:val="005B42B6"/>
    <w:pPr>
      <w:spacing w:line="240" w:lineRule="auto"/>
    </w:pPr>
    <w:rPr>
      <w:sz w:val="20"/>
      <w:szCs w:val="20"/>
    </w:rPr>
  </w:style>
  <w:style w:type="character" w:customStyle="1" w:styleId="CommentTextChar">
    <w:name w:val="Comment Text Char"/>
    <w:basedOn w:val="DefaultParagraphFont"/>
    <w:link w:val="CommentText"/>
    <w:uiPriority w:val="99"/>
    <w:semiHidden/>
    <w:rsid w:val="005B42B6"/>
    <w:rPr>
      <w:sz w:val="20"/>
      <w:szCs w:val="20"/>
    </w:rPr>
  </w:style>
  <w:style w:type="paragraph" w:styleId="CommentSubject">
    <w:name w:val="annotation subject"/>
    <w:basedOn w:val="CommentText"/>
    <w:next w:val="CommentText"/>
    <w:link w:val="CommentSubjectChar"/>
    <w:uiPriority w:val="99"/>
    <w:semiHidden/>
    <w:unhideWhenUsed/>
    <w:rsid w:val="005B42B6"/>
    <w:rPr>
      <w:b/>
      <w:bCs/>
    </w:rPr>
  </w:style>
  <w:style w:type="character" w:customStyle="1" w:styleId="CommentSubjectChar">
    <w:name w:val="Comment Subject Char"/>
    <w:basedOn w:val="CommentTextChar"/>
    <w:link w:val="CommentSubject"/>
    <w:uiPriority w:val="99"/>
    <w:semiHidden/>
    <w:rsid w:val="005B42B6"/>
    <w:rPr>
      <w:b/>
      <w:bCs/>
      <w:sz w:val="20"/>
      <w:szCs w:val="20"/>
    </w:rPr>
  </w:style>
  <w:style w:type="paragraph" w:styleId="BalloonText">
    <w:name w:val="Balloon Text"/>
    <w:basedOn w:val="Normal"/>
    <w:link w:val="BalloonTextChar"/>
    <w:uiPriority w:val="99"/>
    <w:semiHidden/>
    <w:unhideWhenUsed/>
    <w:rsid w:val="005B4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969784">
      <w:bodyDiv w:val="1"/>
      <w:marLeft w:val="0"/>
      <w:marRight w:val="0"/>
      <w:marTop w:val="0"/>
      <w:marBottom w:val="0"/>
      <w:divBdr>
        <w:top w:val="none" w:sz="0" w:space="0" w:color="auto"/>
        <w:left w:val="none" w:sz="0" w:space="0" w:color="auto"/>
        <w:bottom w:val="none" w:sz="0" w:space="0" w:color="auto"/>
        <w:right w:val="none" w:sz="0" w:space="0" w:color="auto"/>
      </w:divBdr>
      <w:divsChild>
        <w:div w:id="2119637662">
          <w:marLeft w:val="0"/>
          <w:marRight w:val="0"/>
          <w:marTop w:val="0"/>
          <w:marBottom w:val="0"/>
          <w:divBdr>
            <w:top w:val="none" w:sz="0" w:space="0" w:color="auto"/>
            <w:left w:val="none" w:sz="0" w:space="0" w:color="auto"/>
            <w:bottom w:val="none" w:sz="0" w:space="0" w:color="auto"/>
            <w:right w:val="none" w:sz="0" w:space="0" w:color="auto"/>
          </w:divBdr>
          <w:divsChild>
            <w:div w:id="2045012739">
              <w:marLeft w:val="-225"/>
              <w:marRight w:val="-225"/>
              <w:marTop w:val="0"/>
              <w:marBottom w:val="0"/>
              <w:divBdr>
                <w:top w:val="none" w:sz="0" w:space="0" w:color="auto"/>
                <w:left w:val="none" w:sz="0" w:space="0" w:color="auto"/>
                <w:bottom w:val="none" w:sz="0" w:space="0" w:color="auto"/>
                <w:right w:val="none" w:sz="0" w:space="0" w:color="auto"/>
              </w:divBdr>
              <w:divsChild>
                <w:div w:id="1934821183">
                  <w:marLeft w:val="0"/>
                  <w:marRight w:val="0"/>
                  <w:marTop w:val="0"/>
                  <w:marBottom w:val="0"/>
                  <w:divBdr>
                    <w:top w:val="none" w:sz="0" w:space="0" w:color="auto"/>
                    <w:left w:val="none" w:sz="0" w:space="0" w:color="auto"/>
                    <w:bottom w:val="none" w:sz="0" w:space="0" w:color="auto"/>
                    <w:right w:val="none" w:sz="0" w:space="0" w:color="auto"/>
                  </w:divBdr>
                  <w:divsChild>
                    <w:div w:id="1674068256">
                      <w:marLeft w:val="0"/>
                      <w:marRight w:val="0"/>
                      <w:marTop w:val="0"/>
                      <w:marBottom w:val="0"/>
                      <w:divBdr>
                        <w:top w:val="none" w:sz="0" w:space="0" w:color="auto"/>
                        <w:left w:val="none" w:sz="0" w:space="0" w:color="auto"/>
                        <w:bottom w:val="none" w:sz="0" w:space="0" w:color="auto"/>
                        <w:right w:val="none" w:sz="0" w:space="0" w:color="auto"/>
                      </w:divBdr>
                      <w:divsChild>
                        <w:div w:id="1332952454">
                          <w:blockQuote w:val="1"/>
                          <w:marLeft w:val="0"/>
                          <w:marRight w:val="0"/>
                          <w:marTop w:val="0"/>
                          <w:marBottom w:val="225"/>
                          <w:divBdr>
                            <w:top w:val="none" w:sz="0" w:space="15" w:color="004F71"/>
                            <w:left w:val="single" w:sz="36" w:space="15" w:color="004F71"/>
                            <w:bottom w:val="none" w:sz="0" w:space="15" w:color="004F71"/>
                            <w:right w:val="none" w:sz="0" w:space="15" w:color="004F71"/>
                          </w:divBdr>
                        </w:div>
                      </w:divsChild>
                    </w:div>
                  </w:divsChild>
                </w:div>
              </w:divsChild>
            </w:div>
          </w:divsChild>
        </w:div>
      </w:divsChild>
    </w:div>
    <w:div w:id="1362365599">
      <w:bodyDiv w:val="1"/>
      <w:marLeft w:val="0"/>
      <w:marRight w:val="0"/>
      <w:marTop w:val="0"/>
      <w:marBottom w:val="0"/>
      <w:divBdr>
        <w:top w:val="none" w:sz="0" w:space="0" w:color="auto"/>
        <w:left w:val="none" w:sz="0" w:space="0" w:color="auto"/>
        <w:bottom w:val="none" w:sz="0" w:space="0" w:color="auto"/>
        <w:right w:val="none" w:sz="0" w:space="0" w:color="auto"/>
      </w:divBdr>
    </w:div>
    <w:div w:id="2128160116">
      <w:bodyDiv w:val="1"/>
      <w:marLeft w:val="0"/>
      <w:marRight w:val="0"/>
      <w:marTop w:val="0"/>
      <w:marBottom w:val="0"/>
      <w:divBdr>
        <w:top w:val="none" w:sz="0" w:space="0" w:color="auto"/>
        <w:left w:val="none" w:sz="0" w:space="0" w:color="auto"/>
        <w:bottom w:val="none" w:sz="0" w:space="0" w:color="auto"/>
        <w:right w:val="none" w:sz="0" w:space="0" w:color="auto"/>
      </w:divBdr>
      <w:divsChild>
        <w:div w:id="108085866">
          <w:marLeft w:val="0"/>
          <w:marRight w:val="0"/>
          <w:marTop w:val="0"/>
          <w:marBottom w:val="0"/>
          <w:divBdr>
            <w:top w:val="none" w:sz="0" w:space="0" w:color="auto"/>
            <w:left w:val="none" w:sz="0" w:space="0" w:color="auto"/>
            <w:bottom w:val="none" w:sz="0" w:space="0" w:color="auto"/>
            <w:right w:val="none" w:sz="0" w:space="0" w:color="auto"/>
          </w:divBdr>
          <w:divsChild>
            <w:div w:id="560094458">
              <w:marLeft w:val="-225"/>
              <w:marRight w:val="-225"/>
              <w:marTop w:val="0"/>
              <w:marBottom w:val="0"/>
              <w:divBdr>
                <w:top w:val="none" w:sz="0" w:space="0" w:color="auto"/>
                <w:left w:val="none" w:sz="0" w:space="0" w:color="auto"/>
                <w:bottom w:val="none" w:sz="0" w:space="0" w:color="auto"/>
                <w:right w:val="none" w:sz="0" w:space="0" w:color="auto"/>
              </w:divBdr>
              <w:divsChild>
                <w:div w:id="1147237585">
                  <w:marLeft w:val="0"/>
                  <w:marRight w:val="0"/>
                  <w:marTop w:val="0"/>
                  <w:marBottom w:val="0"/>
                  <w:divBdr>
                    <w:top w:val="none" w:sz="0" w:space="0" w:color="auto"/>
                    <w:left w:val="none" w:sz="0" w:space="0" w:color="auto"/>
                    <w:bottom w:val="none" w:sz="0" w:space="0" w:color="auto"/>
                    <w:right w:val="none" w:sz="0" w:space="0" w:color="auto"/>
                  </w:divBdr>
                  <w:divsChild>
                    <w:div w:id="1953826394">
                      <w:marLeft w:val="0"/>
                      <w:marRight w:val="0"/>
                      <w:marTop w:val="0"/>
                      <w:marBottom w:val="0"/>
                      <w:divBdr>
                        <w:top w:val="none" w:sz="0" w:space="0" w:color="auto"/>
                        <w:left w:val="none" w:sz="0" w:space="0" w:color="auto"/>
                        <w:bottom w:val="none" w:sz="0" w:space="0" w:color="auto"/>
                        <w:right w:val="none" w:sz="0" w:space="0" w:color="auto"/>
                      </w:divBdr>
                      <w:divsChild>
                        <w:div w:id="1294795155">
                          <w:blockQuote w:val="1"/>
                          <w:marLeft w:val="0"/>
                          <w:marRight w:val="0"/>
                          <w:marTop w:val="0"/>
                          <w:marBottom w:val="225"/>
                          <w:divBdr>
                            <w:top w:val="none" w:sz="0" w:space="15" w:color="004F71"/>
                            <w:left w:val="single" w:sz="36" w:space="15" w:color="004F71"/>
                            <w:bottom w:val="none" w:sz="0" w:space="15" w:color="004F71"/>
                            <w:right w:val="none" w:sz="0" w:space="15" w:color="004F7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aa.ac.uk/en/Publications/Documents/qualifications-framework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sc.ac.uk/rd/projects/developing-student-employability" TargetMode="External"/><Relationship Id="rId5" Type="http://schemas.openxmlformats.org/officeDocument/2006/relationships/webSettings" Target="webSettings.xml"/><Relationship Id="rId10" Type="http://schemas.openxmlformats.org/officeDocument/2006/relationships/hyperlink" Target="https://www.heacademy.ac.uk/system/files/resources/employability_framework.pdf" TargetMode="External"/><Relationship Id="rId4" Type="http://schemas.openxmlformats.org/officeDocument/2006/relationships/settings" Target="settings.xml"/><Relationship Id="rId9" Type="http://schemas.openxmlformats.org/officeDocument/2006/relationships/hyperlink" Target="https://www.heacademy.ac.uk/system/files/uwstoolki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1B3C-763A-4E54-B26B-2A9AFA3A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1D215FD6</Template>
  <TotalTime>1</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Gleaves, Helen (helen.gleaves@canterbury.ac.uk)</dc:creator>
  <cp:keywords/>
  <dc:description/>
  <cp:lastModifiedBy>Gleaves, Helen (helen.gleaves@canterbury.ac.uk)</cp:lastModifiedBy>
  <cp:revision>3</cp:revision>
  <dcterms:created xsi:type="dcterms:W3CDTF">2017-06-23T05:56:00Z</dcterms:created>
  <dcterms:modified xsi:type="dcterms:W3CDTF">2017-06-23T06:16:00Z</dcterms:modified>
</cp:coreProperties>
</file>